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0193D4DA" w:rsidR="00E203C2" w:rsidRDefault="00E203C2" w:rsidP="004C01F6">
      <w:pPr>
        <w:widowControl/>
      </w:pPr>
      <w:r>
        <w:rPr>
          <w:noProof/>
          <w:lang w:eastAsia="en-GB" w:bidi="ar-SA"/>
        </w:rPr>
        <w:drawing>
          <wp:inline distT="0" distB="0" distL="0" distR="0" wp14:anchorId="653CD4DB" wp14:editId="1F5951A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4C01F6">
      <w:pPr>
        <w:widowControl/>
      </w:pPr>
    </w:p>
    <w:p w14:paraId="2B7EAED1" w14:textId="163EF80C" w:rsidR="00BA24E2" w:rsidRPr="004F6ED5" w:rsidRDefault="004F6ED5" w:rsidP="004C01F6">
      <w:pPr>
        <w:widowControl/>
        <w:rPr>
          <w:b/>
          <w:sz w:val="28"/>
          <w:szCs w:val="28"/>
        </w:rPr>
      </w:pPr>
      <w:r w:rsidRPr="004F6ED5">
        <w:rPr>
          <w:b/>
          <w:sz w:val="28"/>
          <w:szCs w:val="28"/>
        </w:rPr>
        <w:t>20 December 2019</w:t>
      </w:r>
    </w:p>
    <w:p w14:paraId="36055913" w14:textId="373050F1" w:rsidR="00BA24E2" w:rsidRPr="004F6ED5" w:rsidRDefault="004F6ED5" w:rsidP="004C01F6">
      <w:pPr>
        <w:widowControl/>
        <w:rPr>
          <w:b/>
          <w:sz w:val="28"/>
          <w:szCs w:val="28"/>
        </w:rPr>
      </w:pPr>
      <w:r w:rsidRPr="004F6ED5">
        <w:rPr>
          <w:b/>
          <w:sz w:val="28"/>
          <w:szCs w:val="28"/>
        </w:rPr>
        <w:t>[106-19</w:t>
      </w:r>
      <w:r w:rsidR="00BA24E2" w:rsidRPr="004F6ED5">
        <w:rPr>
          <w:b/>
          <w:sz w:val="28"/>
          <w:szCs w:val="28"/>
        </w:rPr>
        <w:t>]</w:t>
      </w:r>
    </w:p>
    <w:p w14:paraId="0636FCE1" w14:textId="77777777" w:rsidR="00BA24E2" w:rsidRDefault="00BA24E2" w:rsidP="004C01F6">
      <w:pPr>
        <w:widowControl/>
      </w:pPr>
    </w:p>
    <w:p w14:paraId="06900874" w14:textId="72B9C1ED" w:rsidR="00D056F1" w:rsidRPr="00D027AF" w:rsidRDefault="000427B2" w:rsidP="004C01F6">
      <w:pPr>
        <w:pStyle w:val="FSTitle"/>
        <w:widowControl/>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D027AF">
        <w:rPr>
          <w:b/>
        </w:rPr>
        <w:t>A</w:t>
      </w:r>
      <w:r w:rsidR="00A91DF1" w:rsidRPr="00D027AF">
        <w:rPr>
          <w:b/>
        </w:rPr>
        <w:t>pplication</w:t>
      </w:r>
      <w:r w:rsidR="00D056F1" w:rsidRPr="00D027AF">
        <w:rPr>
          <w:b/>
        </w:rPr>
        <w:t xml:space="preserve"> A</w:t>
      </w:r>
      <w:r w:rsidR="00D027AF" w:rsidRPr="00D027AF">
        <w:rPr>
          <w:b/>
        </w:rPr>
        <w:t>1186</w:t>
      </w:r>
    </w:p>
    <w:p w14:paraId="5EA0ECE8" w14:textId="77777777" w:rsidR="00E203C2" w:rsidRPr="00D027AF" w:rsidRDefault="00E203C2" w:rsidP="004C01F6">
      <w:pPr>
        <w:widowControl/>
      </w:pPr>
    </w:p>
    <w:p w14:paraId="5EAD64E9" w14:textId="66D028C2" w:rsidR="00D056F1" w:rsidRPr="00D027AF" w:rsidRDefault="00D027AF" w:rsidP="004C01F6">
      <w:pPr>
        <w:pStyle w:val="FSTitle"/>
        <w:widowControl/>
      </w:pPr>
      <w:r w:rsidRPr="00D027AF">
        <w:t>Soy leghemoglobin in meat analogue products</w:t>
      </w:r>
    </w:p>
    <w:p w14:paraId="3D051650" w14:textId="77777777" w:rsidR="00E203C2" w:rsidRPr="00E81F6E" w:rsidRDefault="00E203C2" w:rsidP="004C01F6">
      <w:pPr>
        <w:widowControl/>
        <w:pBdr>
          <w:bottom w:val="single" w:sz="12" w:space="1" w:color="auto"/>
        </w:pBdr>
        <w:spacing w:line="280" w:lineRule="exact"/>
        <w:rPr>
          <w:rFonts w:cs="Arial"/>
          <w:bCs/>
        </w:rPr>
      </w:pPr>
    </w:p>
    <w:p w14:paraId="0735C279" w14:textId="77777777" w:rsidR="00E203C2" w:rsidRPr="00E81F6E" w:rsidRDefault="00E203C2" w:rsidP="004C01F6">
      <w:pPr>
        <w:widowControl/>
      </w:pPr>
    </w:p>
    <w:p w14:paraId="5C4967E0" w14:textId="5513651D" w:rsidR="00BA24E2" w:rsidRPr="001D02CB" w:rsidRDefault="00BA24E2" w:rsidP="004C01F6">
      <w:pPr>
        <w:widowControl/>
        <w:rPr>
          <w:sz w:val="20"/>
          <w:szCs w:val="20"/>
        </w:rPr>
      </w:pPr>
      <w:r w:rsidRPr="001D02CB">
        <w:rPr>
          <w:sz w:val="20"/>
          <w:szCs w:val="20"/>
        </w:rPr>
        <w:t xml:space="preserve">FSANZ has assessed an Application made by </w:t>
      </w:r>
      <w:r w:rsidR="00940C98" w:rsidRPr="001D02CB">
        <w:rPr>
          <w:sz w:val="20"/>
          <w:szCs w:val="20"/>
        </w:rPr>
        <w:t>Impossible Foods Inc.</w:t>
      </w:r>
      <w:r w:rsidR="007219F4">
        <w:rPr>
          <w:sz w:val="20"/>
          <w:szCs w:val="20"/>
        </w:rPr>
        <w:t xml:space="preserve"> Pursuant to section 44</w:t>
      </w:r>
      <w:r w:rsidRPr="001D02CB">
        <w:rPr>
          <w:sz w:val="20"/>
          <w:szCs w:val="20"/>
        </w:rPr>
        <w:t xml:space="preserve"> of the </w:t>
      </w:r>
      <w:r w:rsidRPr="001D02CB">
        <w:rPr>
          <w:i/>
          <w:sz w:val="20"/>
          <w:szCs w:val="20"/>
        </w:rPr>
        <w:t xml:space="preserve">Food Standards Australia New Zealand Act 1991 </w:t>
      </w:r>
      <w:r w:rsidR="007219F4">
        <w:rPr>
          <w:sz w:val="20"/>
          <w:szCs w:val="20"/>
        </w:rPr>
        <w:t>(FSANZ Act).</w:t>
      </w:r>
      <w:r w:rsidRPr="001D02CB">
        <w:rPr>
          <w:sz w:val="20"/>
          <w:szCs w:val="20"/>
        </w:rPr>
        <w:t xml:space="preserve"> FSANZ now calls for submissions to assist further consideration</w:t>
      </w:r>
      <w:r w:rsidR="00940C98" w:rsidRPr="001D02CB">
        <w:rPr>
          <w:sz w:val="20"/>
          <w:szCs w:val="20"/>
        </w:rPr>
        <w:t xml:space="preserve"> of the Application</w:t>
      </w:r>
      <w:r w:rsidRPr="001D02CB">
        <w:rPr>
          <w:sz w:val="20"/>
          <w:szCs w:val="20"/>
        </w:rPr>
        <w:t>.</w:t>
      </w:r>
    </w:p>
    <w:p w14:paraId="7692BF6F" w14:textId="092C9E4A" w:rsidR="00413CA8" w:rsidRPr="007C174F" w:rsidRDefault="00413CA8" w:rsidP="004C01F6">
      <w:pPr>
        <w:widowControl/>
        <w:rPr>
          <w:sz w:val="20"/>
          <w:szCs w:val="20"/>
        </w:rPr>
      </w:pPr>
    </w:p>
    <w:p w14:paraId="76C6F484" w14:textId="13E33E4F" w:rsidR="00351B07" w:rsidRDefault="00A91DF1" w:rsidP="004C01F6">
      <w:pPr>
        <w:widowControl/>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w:t>
      </w:r>
      <w:hyperlink r:id="rId15" w:history="1">
        <w:r w:rsidR="00C56F71">
          <w:rPr>
            <w:rStyle w:val="Hyperlink"/>
            <w:sz w:val="20"/>
            <w:szCs w:val="20"/>
            <w:lang w:val="en-AU"/>
          </w:rPr>
          <w:t>information for submitters</w:t>
        </w:r>
      </w:hyperlink>
      <w:r w:rsidR="00F64024">
        <w:rPr>
          <w:sz w:val="20"/>
          <w:szCs w:val="20"/>
        </w:rPr>
        <w:t xml:space="preserve"> page on our website.</w:t>
      </w:r>
    </w:p>
    <w:p w14:paraId="499F5B12" w14:textId="77777777" w:rsidR="00D81D38" w:rsidRPr="00276026" w:rsidRDefault="00D81D38" w:rsidP="004C01F6">
      <w:pPr>
        <w:widowControl/>
        <w:rPr>
          <w:sz w:val="20"/>
          <w:szCs w:val="20"/>
        </w:rPr>
      </w:pPr>
    </w:p>
    <w:p w14:paraId="0175A9C5" w14:textId="77777777" w:rsidR="00276026" w:rsidRPr="00276026" w:rsidRDefault="00276026" w:rsidP="004C01F6">
      <w:pPr>
        <w:widowControl/>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bookmarkStart w:id="0" w:name="_GoBack"/>
      <w:bookmarkEnd w:id="0"/>
    </w:p>
    <w:p w14:paraId="19FE9115" w14:textId="77777777" w:rsidR="00876515" w:rsidRPr="00276026" w:rsidRDefault="00876515" w:rsidP="004C01F6">
      <w:pPr>
        <w:widowControl/>
        <w:rPr>
          <w:color w:val="000000"/>
          <w:sz w:val="20"/>
          <w:szCs w:val="20"/>
          <w:lang w:val="en-AU"/>
        </w:rPr>
      </w:pPr>
    </w:p>
    <w:p w14:paraId="5610940B" w14:textId="77777777" w:rsidR="00E203C2" w:rsidRPr="007C174F" w:rsidRDefault="00AD22F9" w:rsidP="004C01F6">
      <w:pPr>
        <w:widowControl/>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4C01F6">
      <w:pPr>
        <w:widowControl/>
        <w:rPr>
          <w:color w:val="000000"/>
          <w:sz w:val="20"/>
          <w:szCs w:val="20"/>
          <w:lang w:val="en-AU"/>
        </w:rPr>
      </w:pPr>
    </w:p>
    <w:p w14:paraId="51D6F2D9" w14:textId="77777777" w:rsidR="00351B07" w:rsidRPr="007C174F" w:rsidRDefault="00E063C6" w:rsidP="004C01F6">
      <w:pPr>
        <w:widowControl/>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4C01F6">
      <w:pPr>
        <w:widowControl/>
        <w:rPr>
          <w:color w:val="000000"/>
          <w:sz w:val="20"/>
          <w:szCs w:val="20"/>
          <w:lang w:val="en-AU"/>
        </w:rPr>
      </w:pPr>
    </w:p>
    <w:p w14:paraId="36A2048E" w14:textId="77777777" w:rsidR="00E063C6" w:rsidRPr="007C174F" w:rsidRDefault="00E063C6" w:rsidP="004C01F6">
      <w:pPr>
        <w:widowControl/>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4C01F6">
      <w:pPr>
        <w:widowControl/>
        <w:rPr>
          <w:color w:val="000000"/>
          <w:sz w:val="20"/>
          <w:lang w:val="en-AU"/>
        </w:rPr>
      </w:pPr>
    </w:p>
    <w:p w14:paraId="03816012" w14:textId="03D74C24" w:rsidR="00E063C6" w:rsidRPr="00FB1533" w:rsidRDefault="00E063C6" w:rsidP="004C01F6">
      <w:pPr>
        <w:widowControl/>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142BD4" w:rsidRPr="004F6ED5">
        <w:rPr>
          <w:rFonts w:cs="Arial"/>
          <w:b/>
          <w:bCs/>
          <w:sz w:val="24"/>
        </w:rPr>
        <w:t>14</w:t>
      </w:r>
      <w:r w:rsidRPr="004F6ED5">
        <w:rPr>
          <w:rFonts w:cs="Arial"/>
          <w:b/>
          <w:bCs/>
          <w:sz w:val="24"/>
        </w:rPr>
        <w:t xml:space="preserve"> </w:t>
      </w:r>
      <w:r w:rsidR="00142BD4" w:rsidRPr="004F6ED5">
        <w:rPr>
          <w:rFonts w:cs="Arial"/>
          <w:b/>
          <w:bCs/>
          <w:sz w:val="24"/>
        </w:rPr>
        <w:t>February 2020</w:t>
      </w:r>
    </w:p>
    <w:p w14:paraId="154F3C94" w14:textId="77777777" w:rsidR="00E203C2" w:rsidRPr="007C174F" w:rsidRDefault="00E203C2" w:rsidP="004C01F6">
      <w:pPr>
        <w:widowControl/>
        <w:rPr>
          <w:sz w:val="20"/>
          <w:szCs w:val="20"/>
          <w:lang w:val="en-AU"/>
        </w:rPr>
      </w:pPr>
    </w:p>
    <w:p w14:paraId="1BD3B4EB" w14:textId="77777777" w:rsidR="00E063C6" w:rsidRPr="007C174F" w:rsidRDefault="00E063C6" w:rsidP="004C01F6">
      <w:pPr>
        <w:widowControl/>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4C01F6">
      <w:pPr>
        <w:widowControl/>
        <w:rPr>
          <w:sz w:val="20"/>
          <w:szCs w:val="20"/>
          <w:lang w:val="en-AU"/>
        </w:rPr>
      </w:pPr>
    </w:p>
    <w:p w14:paraId="0D7D85BE" w14:textId="77777777" w:rsidR="00E063C6" w:rsidRPr="007C174F" w:rsidRDefault="0037520F" w:rsidP="004C01F6">
      <w:pPr>
        <w:widowControl/>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4C01F6">
      <w:pPr>
        <w:widowControl/>
        <w:rPr>
          <w:sz w:val="20"/>
          <w:lang w:val="en-AU"/>
        </w:rPr>
      </w:pPr>
    </w:p>
    <w:p w14:paraId="145B3DAA" w14:textId="77777777" w:rsidR="00E063C6" w:rsidRPr="007C174F" w:rsidRDefault="00351B07" w:rsidP="004C01F6">
      <w:pPr>
        <w:widowControl/>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4C01F6">
      <w:pPr>
        <w:widowControl/>
        <w:rPr>
          <w:sz w:val="20"/>
          <w:szCs w:val="20"/>
          <w:lang w:val="en-AU"/>
        </w:rPr>
      </w:pPr>
    </w:p>
    <w:p w14:paraId="7FC39125" w14:textId="77777777" w:rsidR="00E203C2" w:rsidRPr="007C174F" w:rsidRDefault="00E063C6" w:rsidP="004C01F6">
      <w:pPr>
        <w:widowControl/>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4C01F6">
      <w:pPr>
        <w:widowControl/>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4C01F6">
      <w:pPr>
        <w:widowControl/>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4C01F6">
      <w:pPr>
        <w:widowControl/>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4C01F6">
      <w:pPr>
        <w:widowControl/>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4C01F6">
      <w:pPr>
        <w:widowControl/>
        <w:tabs>
          <w:tab w:val="left" w:pos="4536"/>
        </w:tabs>
        <w:rPr>
          <w:rFonts w:cs="Arial"/>
          <w:bCs/>
          <w:color w:val="FF0000"/>
          <w:sz w:val="20"/>
          <w:szCs w:val="20"/>
        </w:rPr>
      </w:pPr>
    </w:p>
    <w:p w14:paraId="2E8CFC17" w14:textId="30443489" w:rsidR="00562917" w:rsidRPr="00AE766D" w:rsidRDefault="00562917" w:rsidP="004C01F6">
      <w:pPr>
        <w:pStyle w:val="FSCh1Chap"/>
        <w:keepNext w:val="0"/>
        <w:keepLines w:val="0"/>
      </w:pPr>
      <w:bookmarkStart w:id="1" w:name="_Toc26284635"/>
      <w:bookmarkStart w:id="2" w:name="_Toc26980486"/>
      <w:r w:rsidRPr="00646FDD">
        <w:t xml:space="preserve">Table of </w:t>
      </w:r>
      <w:r w:rsidR="000C412C">
        <w:t>c</w:t>
      </w:r>
      <w:r w:rsidRPr="00646FDD">
        <w:t>ontents</w:t>
      </w:r>
      <w:bookmarkEnd w:id="1"/>
      <w:bookmarkEnd w:id="2"/>
    </w:p>
    <w:p w14:paraId="77D4AF2F" w14:textId="32265F5F" w:rsidR="008B5D5D"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26980486" w:history="1">
        <w:r w:rsidR="008B5D5D" w:rsidRPr="00365A4D">
          <w:rPr>
            <w:rStyle w:val="Hyperlink"/>
            <w:noProof/>
          </w:rPr>
          <w:t>Table of contents</w:t>
        </w:r>
        <w:r w:rsidR="008B5D5D">
          <w:rPr>
            <w:noProof/>
            <w:webHidden/>
          </w:rPr>
          <w:tab/>
        </w:r>
        <w:r w:rsidR="008B5D5D">
          <w:rPr>
            <w:noProof/>
            <w:webHidden/>
          </w:rPr>
          <w:fldChar w:fldCharType="begin"/>
        </w:r>
        <w:r w:rsidR="008B5D5D">
          <w:rPr>
            <w:noProof/>
            <w:webHidden/>
          </w:rPr>
          <w:instrText xml:space="preserve"> PAGEREF _Toc26980486 \h </w:instrText>
        </w:r>
        <w:r w:rsidR="008B5D5D">
          <w:rPr>
            <w:noProof/>
            <w:webHidden/>
          </w:rPr>
        </w:r>
        <w:r w:rsidR="008B5D5D">
          <w:rPr>
            <w:noProof/>
            <w:webHidden/>
          </w:rPr>
          <w:fldChar w:fldCharType="separate"/>
        </w:r>
        <w:r w:rsidR="00142BD4">
          <w:rPr>
            <w:noProof/>
            <w:webHidden/>
          </w:rPr>
          <w:t>2</w:t>
        </w:r>
        <w:r w:rsidR="008B5D5D">
          <w:rPr>
            <w:noProof/>
            <w:webHidden/>
          </w:rPr>
          <w:fldChar w:fldCharType="end"/>
        </w:r>
      </w:hyperlink>
    </w:p>
    <w:p w14:paraId="35519B35" w14:textId="2902066D" w:rsidR="008B5D5D" w:rsidRDefault="004F6ED5">
      <w:pPr>
        <w:pStyle w:val="TOC1"/>
        <w:tabs>
          <w:tab w:val="right" w:leader="dot" w:pos="9060"/>
        </w:tabs>
        <w:rPr>
          <w:rFonts w:eastAsiaTheme="minorEastAsia" w:cstheme="minorBidi"/>
          <w:b w:val="0"/>
          <w:bCs w:val="0"/>
          <w:caps w:val="0"/>
          <w:noProof/>
          <w:sz w:val="22"/>
          <w:szCs w:val="22"/>
          <w:lang w:eastAsia="en-GB" w:bidi="ar-SA"/>
        </w:rPr>
      </w:pPr>
      <w:hyperlink w:anchor="_Toc26980487" w:history="1">
        <w:r w:rsidR="008B5D5D" w:rsidRPr="00365A4D">
          <w:rPr>
            <w:rStyle w:val="Hyperlink"/>
            <w:noProof/>
          </w:rPr>
          <w:t>Executive summary</w:t>
        </w:r>
        <w:r w:rsidR="008B5D5D">
          <w:rPr>
            <w:noProof/>
            <w:webHidden/>
          </w:rPr>
          <w:tab/>
        </w:r>
        <w:r w:rsidR="008B5D5D">
          <w:rPr>
            <w:noProof/>
            <w:webHidden/>
          </w:rPr>
          <w:fldChar w:fldCharType="begin"/>
        </w:r>
        <w:r w:rsidR="008B5D5D">
          <w:rPr>
            <w:noProof/>
            <w:webHidden/>
          </w:rPr>
          <w:instrText xml:space="preserve"> PAGEREF _Toc26980487 \h </w:instrText>
        </w:r>
        <w:r w:rsidR="008B5D5D">
          <w:rPr>
            <w:noProof/>
            <w:webHidden/>
          </w:rPr>
        </w:r>
        <w:r w:rsidR="008B5D5D">
          <w:rPr>
            <w:noProof/>
            <w:webHidden/>
          </w:rPr>
          <w:fldChar w:fldCharType="separate"/>
        </w:r>
        <w:r w:rsidR="00142BD4">
          <w:rPr>
            <w:noProof/>
            <w:webHidden/>
          </w:rPr>
          <w:t>3</w:t>
        </w:r>
        <w:r w:rsidR="008B5D5D">
          <w:rPr>
            <w:noProof/>
            <w:webHidden/>
          </w:rPr>
          <w:fldChar w:fldCharType="end"/>
        </w:r>
      </w:hyperlink>
    </w:p>
    <w:p w14:paraId="16BC00EB" w14:textId="4B7F9786" w:rsidR="008B5D5D" w:rsidRDefault="004F6E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980488" w:history="1">
        <w:r w:rsidR="008B5D5D" w:rsidRPr="00365A4D">
          <w:rPr>
            <w:rStyle w:val="Hyperlink"/>
            <w:noProof/>
          </w:rPr>
          <w:t>1</w:t>
        </w:r>
        <w:r w:rsidR="008B5D5D">
          <w:rPr>
            <w:rFonts w:eastAsiaTheme="minorEastAsia" w:cstheme="minorBidi"/>
            <w:b w:val="0"/>
            <w:bCs w:val="0"/>
            <w:caps w:val="0"/>
            <w:noProof/>
            <w:sz w:val="22"/>
            <w:szCs w:val="22"/>
            <w:lang w:eastAsia="en-GB" w:bidi="ar-SA"/>
          </w:rPr>
          <w:tab/>
        </w:r>
        <w:r w:rsidR="008B5D5D" w:rsidRPr="00365A4D">
          <w:rPr>
            <w:rStyle w:val="Hyperlink"/>
            <w:noProof/>
          </w:rPr>
          <w:t>Introduction</w:t>
        </w:r>
        <w:r w:rsidR="008B5D5D">
          <w:rPr>
            <w:noProof/>
            <w:webHidden/>
          </w:rPr>
          <w:tab/>
        </w:r>
        <w:r w:rsidR="008B5D5D">
          <w:rPr>
            <w:noProof/>
            <w:webHidden/>
          </w:rPr>
          <w:fldChar w:fldCharType="begin"/>
        </w:r>
        <w:r w:rsidR="008B5D5D">
          <w:rPr>
            <w:noProof/>
            <w:webHidden/>
          </w:rPr>
          <w:instrText xml:space="preserve"> PAGEREF _Toc26980488 \h </w:instrText>
        </w:r>
        <w:r w:rsidR="008B5D5D">
          <w:rPr>
            <w:noProof/>
            <w:webHidden/>
          </w:rPr>
        </w:r>
        <w:r w:rsidR="008B5D5D">
          <w:rPr>
            <w:noProof/>
            <w:webHidden/>
          </w:rPr>
          <w:fldChar w:fldCharType="separate"/>
        </w:r>
        <w:r w:rsidR="00142BD4">
          <w:rPr>
            <w:noProof/>
            <w:webHidden/>
          </w:rPr>
          <w:t>5</w:t>
        </w:r>
        <w:r w:rsidR="008B5D5D">
          <w:rPr>
            <w:noProof/>
            <w:webHidden/>
          </w:rPr>
          <w:fldChar w:fldCharType="end"/>
        </w:r>
      </w:hyperlink>
    </w:p>
    <w:p w14:paraId="457C07D8" w14:textId="75F9C8E3"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489" w:history="1">
        <w:r w:rsidR="008B5D5D" w:rsidRPr="00365A4D">
          <w:rPr>
            <w:rStyle w:val="Hyperlink"/>
            <w:noProof/>
          </w:rPr>
          <w:t>1.1</w:t>
        </w:r>
        <w:r w:rsidR="008B5D5D">
          <w:rPr>
            <w:rFonts w:eastAsiaTheme="minorEastAsia" w:cstheme="minorBidi"/>
            <w:smallCaps w:val="0"/>
            <w:noProof/>
            <w:sz w:val="22"/>
            <w:szCs w:val="22"/>
            <w:lang w:eastAsia="en-GB" w:bidi="ar-SA"/>
          </w:rPr>
          <w:tab/>
        </w:r>
        <w:r w:rsidR="008B5D5D" w:rsidRPr="00365A4D">
          <w:rPr>
            <w:rStyle w:val="Hyperlink"/>
            <w:noProof/>
          </w:rPr>
          <w:t>The applicant</w:t>
        </w:r>
        <w:r w:rsidR="008B5D5D">
          <w:rPr>
            <w:noProof/>
            <w:webHidden/>
          </w:rPr>
          <w:tab/>
        </w:r>
        <w:r w:rsidR="008B5D5D">
          <w:rPr>
            <w:noProof/>
            <w:webHidden/>
          </w:rPr>
          <w:fldChar w:fldCharType="begin"/>
        </w:r>
        <w:r w:rsidR="008B5D5D">
          <w:rPr>
            <w:noProof/>
            <w:webHidden/>
          </w:rPr>
          <w:instrText xml:space="preserve"> PAGEREF _Toc26980489 \h </w:instrText>
        </w:r>
        <w:r w:rsidR="008B5D5D">
          <w:rPr>
            <w:noProof/>
            <w:webHidden/>
          </w:rPr>
        </w:r>
        <w:r w:rsidR="008B5D5D">
          <w:rPr>
            <w:noProof/>
            <w:webHidden/>
          </w:rPr>
          <w:fldChar w:fldCharType="separate"/>
        </w:r>
        <w:r w:rsidR="00142BD4">
          <w:rPr>
            <w:noProof/>
            <w:webHidden/>
          </w:rPr>
          <w:t>5</w:t>
        </w:r>
        <w:r w:rsidR="008B5D5D">
          <w:rPr>
            <w:noProof/>
            <w:webHidden/>
          </w:rPr>
          <w:fldChar w:fldCharType="end"/>
        </w:r>
      </w:hyperlink>
    </w:p>
    <w:p w14:paraId="4245C674" w14:textId="7767C9AF"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490" w:history="1">
        <w:r w:rsidR="008B5D5D" w:rsidRPr="00365A4D">
          <w:rPr>
            <w:rStyle w:val="Hyperlink"/>
            <w:noProof/>
          </w:rPr>
          <w:t>1.2</w:t>
        </w:r>
        <w:r w:rsidR="008B5D5D">
          <w:rPr>
            <w:rFonts w:eastAsiaTheme="minorEastAsia" w:cstheme="minorBidi"/>
            <w:smallCaps w:val="0"/>
            <w:noProof/>
            <w:sz w:val="22"/>
            <w:szCs w:val="22"/>
            <w:lang w:eastAsia="en-GB" w:bidi="ar-SA"/>
          </w:rPr>
          <w:tab/>
        </w:r>
        <w:r w:rsidR="008B5D5D" w:rsidRPr="00365A4D">
          <w:rPr>
            <w:rStyle w:val="Hyperlink"/>
            <w:noProof/>
          </w:rPr>
          <w:t>The application</w:t>
        </w:r>
        <w:r w:rsidR="008B5D5D">
          <w:rPr>
            <w:noProof/>
            <w:webHidden/>
          </w:rPr>
          <w:tab/>
        </w:r>
        <w:r w:rsidR="008B5D5D">
          <w:rPr>
            <w:noProof/>
            <w:webHidden/>
          </w:rPr>
          <w:fldChar w:fldCharType="begin"/>
        </w:r>
        <w:r w:rsidR="008B5D5D">
          <w:rPr>
            <w:noProof/>
            <w:webHidden/>
          </w:rPr>
          <w:instrText xml:space="preserve"> PAGEREF _Toc26980490 \h </w:instrText>
        </w:r>
        <w:r w:rsidR="008B5D5D">
          <w:rPr>
            <w:noProof/>
            <w:webHidden/>
          </w:rPr>
        </w:r>
        <w:r w:rsidR="008B5D5D">
          <w:rPr>
            <w:noProof/>
            <w:webHidden/>
          </w:rPr>
          <w:fldChar w:fldCharType="separate"/>
        </w:r>
        <w:r w:rsidR="00142BD4">
          <w:rPr>
            <w:noProof/>
            <w:webHidden/>
          </w:rPr>
          <w:t>5</w:t>
        </w:r>
        <w:r w:rsidR="008B5D5D">
          <w:rPr>
            <w:noProof/>
            <w:webHidden/>
          </w:rPr>
          <w:fldChar w:fldCharType="end"/>
        </w:r>
      </w:hyperlink>
    </w:p>
    <w:p w14:paraId="09DB39F1" w14:textId="252C0F65"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491" w:history="1">
        <w:r w:rsidR="008B5D5D" w:rsidRPr="00365A4D">
          <w:rPr>
            <w:rStyle w:val="Hyperlink"/>
            <w:noProof/>
          </w:rPr>
          <w:t>1.3</w:t>
        </w:r>
        <w:r w:rsidR="008B5D5D">
          <w:rPr>
            <w:rFonts w:eastAsiaTheme="minorEastAsia" w:cstheme="minorBidi"/>
            <w:smallCaps w:val="0"/>
            <w:noProof/>
            <w:sz w:val="22"/>
            <w:szCs w:val="22"/>
            <w:lang w:eastAsia="en-GB" w:bidi="ar-SA"/>
          </w:rPr>
          <w:tab/>
        </w:r>
        <w:r w:rsidR="008B5D5D" w:rsidRPr="00365A4D">
          <w:rPr>
            <w:rStyle w:val="Hyperlink"/>
            <w:noProof/>
          </w:rPr>
          <w:t>The current standards</w:t>
        </w:r>
        <w:r w:rsidR="008B5D5D">
          <w:rPr>
            <w:noProof/>
            <w:webHidden/>
          </w:rPr>
          <w:tab/>
        </w:r>
        <w:r w:rsidR="008B5D5D">
          <w:rPr>
            <w:noProof/>
            <w:webHidden/>
          </w:rPr>
          <w:fldChar w:fldCharType="begin"/>
        </w:r>
        <w:r w:rsidR="008B5D5D">
          <w:rPr>
            <w:noProof/>
            <w:webHidden/>
          </w:rPr>
          <w:instrText xml:space="preserve"> PAGEREF _Toc26980491 \h </w:instrText>
        </w:r>
        <w:r w:rsidR="008B5D5D">
          <w:rPr>
            <w:noProof/>
            <w:webHidden/>
          </w:rPr>
        </w:r>
        <w:r w:rsidR="008B5D5D">
          <w:rPr>
            <w:noProof/>
            <w:webHidden/>
          </w:rPr>
          <w:fldChar w:fldCharType="separate"/>
        </w:r>
        <w:r w:rsidR="00142BD4">
          <w:rPr>
            <w:noProof/>
            <w:webHidden/>
          </w:rPr>
          <w:t>6</w:t>
        </w:r>
        <w:r w:rsidR="008B5D5D">
          <w:rPr>
            <w:noProof/>
            <w:webHidden/>
          </w:rPr>
          <w:fldChar w:fldCharType="end"/>
        </w:r>
      </w:hyperlink>
    </w:p>
    <w:p w14:paraId="3A4A984F" w14:textId="391594A7" w:rsidR="008B5D5D" w:rsidRDefault="004F6ED5">
      <w:pPr>
        <w:pStyle w:val="TOC3"/>
        <w:rPr>
          <w:rFonts w:eastAsiaTheme="minorEastAsia" w:cstheme="minorBidi"/>
          <w:i w:val="0"/>
          <w:iCs w:val="0"/>
          <w:noProof/>
          <w:sz w:val="22"/>
          <w:szCs w:val="22"/>
          <w:lang w:eastAsia="en-GB" w:bidi="ar-SA"/>
        </w:rPr>
      </w:pPr>
      <w:hyperlink w:anchor="_Toc26980492" w:history="1">
        <w:r w:rsidR="008B5D5D" w:rsidRPr="00365A4D">
          <w:rPr>
            <w:rStyle w:val="Hyperlink"/>
            <w:noProof/>
          </w:rPr>
          <w:t>1.3.1</w:t>
        </w:r>
        <w:r w:rsidR="008B5D5D">
          <w:rPr>
            <w:rFonts w:eastAsiaTheme="minorEastAsia" w:cstheme="minorBidi"/>
            <w:i w:val="0"/>
            <w:iCs w:val="0"/>
            <w:noProof/>
            <w:sz w:val="22"/>
            <w:szCs w:val="22"/>
            <w:lang w:eastAsia="en-GB" w:bidi="ar-SA"/>
          </w:rPr>
          <w:tab/>
        </w:r>
        <w:r w:rsidR="008B5D5D" w:rsidRPr="00365A4D">
          <w:rPr>
            <w:rStyle w:val="Hyperlink"/>
            <w:noProof/>
          </w:rPr>
          <w:t>Australia and New Zealand</w:t>
        </w:r>
        <w:r w:rsidR="008B5D5D">
          <w:rPr>
            <w:noProof/>
            <w:webHidden/>
          </w:rPr>
          <w:tab/>
        </w:r>
        <w:r w:rsidR="008B5D5D">
          <w:rPr>
            <w:noProof/>
            <w:webHidden/>
          </w:rPr>
          <w:fldChar w:fldCharType="begin"/>
        </w:r>
        <w:r w:rsidR="008B5D5D">
          <w:rPr>
            <w:noProof/>
            <w:webHidden/>
          </w:rPr>
          <w:instrText xml:space="preserve"> PAGEREF _Toc26980492 \h </w:instrText>
        </w:r>
        <w:r w:rsidR="008B5D5D">
          <w:rPr>
            <w:noProof/>
            <w:webHidden/>
          </w:rPr>
        </w:r>
        <w:r w:rsidR="008B5D5D">
          <w:rPr>
            <w:noProof/>
            <w:webHidden/>
          </w:rPr>
          <w:fldChar w:fldCharType="separate"/>
        </w:r>
        <w:r w:rsidR="00142BD4">
          <w:rPr>
            <w:noProof/>
            <w:webHidden/>
          </w:rPr>
          <w:t>6</w:t>
        </w:r>
        <w:r w:rsidR="008B5D5D">
          <w:rPr>
            <w:noProof/>
            <w:webHidden/>
          </w:rPr>
          <w:fldChar w:fldCharType="end"/>
        </w:r>
      </w:hyperlink>
    </w:p>
    <w:p w14:paraId="5AC1ECA8" w14:textId="38F71A2F" w:rsidR="008B5D5D" w:rsidRDefault="004F6ED5">
      <w:pPr>
        <w:pStyle w:val="TOC3"/>
        <w:rPr>
          <w:rFonts w:eastAsiaTheme="minorEastAsia" w:cstheme="minorBidi"/>
          <w:i w:val="0"/>
          <w:iCs w:val="0"/>
          <w:noProof/>
          <w:sz w:val="22"/>
          <w:szCs w:val="22"/>
          <w:lang w:eastAsia="en-GB" w:bidi="ar-SA"/>
        </w:rPr>
      </w:pPr>
      <w:hyperlink w:anchor="_Toc26980493" w:history="1">
        <w:r w:rsidR="008B5D5D" w:rsidRPr="00365A4D">
          <w:rPr>
            <w:rStyle w:val="Hyperlink"/>
            <w:noProof/>
          </w:rPr>
          <w:t>1.3.2</w:t>
        </w:r>
        <w:r w:rsidR="008B5D5D">
          <w:rPr>
            <w:rFonts w:eastAsiaTheme="minorEastAsia" w:cstheme="minorBidi"/>
            <w:i w:val="0"/>
            <w:iCs w:val="0"/>
            <w:noProof/>
            <w:sz w:val="22"/>
            <w:szCs w:val="22"/>
            <w:lang w:eastAsia="en-GB" w:bidi="ar-SA"/>
          </w:rPr>
          <w:tab/>
        </w:r>
        <w:r w:rsidR="008B5D5D" w:rsidRPr="00365A4D">
          <w:rPr>
            <w:rStyle w:val="Hyperlink"/>
            <w:noProof/>
          </w:rPr>
          <w:t>International Regulations</w:t>
        </w:r>
        <w:r w:rsidR="008B5D5D">
          <w:rPr>
            <w:noProof/>
            <w:webHidden/>
          </w:rPr>
          <w:tab/>
        </w:r>
        <w:r w:rsidR="008B5D5D">
          <w:rPr>
            <w:noProof/>
            <w:webHidden/>
          </w:rPr>
          <w:fldChar w:fldCharType="begin"/>
        </w:r>
        <w:r w:rsidR="008B5D5D">
          <w:rPr>
            <w:noProof/>
            <w:webHidden/>
          </w:rPr>
          <w:instrText xml:space="preserve"> PAGEREF _Toc26980493 \h </w:instrText>
        </w:r>
        <w:r w:rsidR="008B5D5D">
          <w:rPr>
            <w:noProof/>
            <w:webHidden/>
          </w:rPr>
        </w:r>
        <w:r w:rsidR="008B5D5D">
          <w:rPr>
            <w:noProof/>
            <w:webHidden/>
          </w:rPr>
          <w:fldChar w:fldCharType="separate"/>
        </w:r>
        <w:r w:rsidR="00142BD4">
          <w:rPr>
            <w:noProof/>
            <w:webHidden/>
          </w:rPr>
          <w:t>7</w:t>
        </w:r>
        <w:r w:rsidR="008B5D5D">
          <w:rPr>
            <w:noProof/>
            <w:webHidden/>
          </w:rPr>
          <w:fldChar w:fldCharType="end"/>
        </w:r>
      </w:hyperlink>
    </w:p>
    <w:p w14:paraId="5CA0E0B1" w14:textId="53DA0930"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494" w:history="1">
        <w:r w:rsidR="008B5D5D" w:rsidRPr="00365A4D">
          <w:rPr>
            <w:rStyle w:val="Hyperlink"/>
            <w:noProof/>
            <w:u w:color="FFFF00"/>
          </w:rPr>
          <w:t>1.4</w:t>
        </w:r>
        <w:r w:rsidR="008B5D5D">
          <w:rPr>
            <w:rFonts w:eastAsiaTheme="minorEastAsia" w:cstheme="minorBidi"/>
            <w:smallCaps w:val="0"/>
            <w:noProof/>
            <w:sz w:val="22"/>
            <w:szCs w:val="22"/>
            <w:lang w:eastAsia="en-GB" w:bidi="ar-SA"/>
          </w:rPr>
          <w:tab/>
        </w:r>
        <w:r w:rsidR="008B5D5D" w:rsidRPr="00365A4D">
          <w:rPr>
            <w:rStyle w:val="Hyperlink"/>
            <w:noProof/>
            <w:u w:color="FFFF00"/>
          </w:rPr>
          <w:t>Reasons for accepting application</w:t>
        </w:r>
        <w:r w:rsidR="008B5D5D">
          <w:rPr>
            <w:noProof/>
            <w:webHidden/>
          </w:rPr>
          <w:tab/>
        </w:r>
        <w:r w:rsidR="008B5D5D">
          <w:rPr>
            <w:noProof/>
            <w:webHidden/>
          </w:rPr>
          <w:fldChar w:fldCharType="begin"/>
        </w:r>
        <w:r w:rsidR="008B5D5D">
          <w:rPr>
            <w:noProof/>
            <w:webHidden/>
          </w:rPr>
          <w:instrText xml:space="preserve"> PAGEREF _Toc26980494 \h </w:instrText>
        </w:r>
        <w:r w:rsidR="008B5D5D">
          <w:rPr>
            <w:noProof/>
            <w:webHidden/>
          </w:rPr>
        </w:r>
        <w:r w:rsidR="008B5D5D">
          <w:rPr>
            <w:noProof/>
            <w:webHidden/>
          </w:rPr>
          <w:fldChar w:fldCharType="separate"/>
        </w:r>
        <w:r w:rsidR="00142BD4">
          <w:rPr>
            <w:noProof/>
            <w:webHidden/>
          </w:rPr>
          <w:t>8</w:t>
        </w:r>
        <w:r w:rsidR="008B5D5D">
          <w:rPr>
            <w:noProof/>
            <w:webHidden/>
          </w:rPr>
          <w:fldChar w:fldCharType="end"/>
        </w:r>
      </w:hyperlink>
    </w:p>
    <w:p w14:paraId="22D8C337" w14:textId="5392FB08"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495" w:history="1">
        <w:r w:rsidR="008B5D5D" w:rsidRPr="00365A4D">
          <w:rPr>
            <w:rStyle w:val="Hyperlink"/>
            <w:noProof/>
          </w:rPr>
          <w:t>1.5</w:t>
        </w:r>
        <w:r w:rsidR="008B5D5D">
          <w:rPr>
            <w:rFonts w:eastAsiaTheme="minorEastAsia" w:cstheme="minorBidi"/>
            <w:smallCaps w:val="0"/>
            <w:noProof/>
            <w:sz w:val="22"/>
            <w:szCs w:val="22"/>
            <w:lang w:eastAsia="en-GB" w:bidi="ar-SA"/>
          </w:rPr>
          <w:tab/>
        </w:r>
        <w:r w:rsidR="008B5D5D" w:rsidRPr="00365A4D">
          <w:rPr>
            <w:rStyle w:val="Hyperlink"/>
            <w:noProof/>
          </w:rPr>
          <w:t>Procedure for assessment</w:t>
        </w:r>
        <w:r w:rsidR="008B5D5D">
          <w:rPr>
            <w:noProof/>
            <w:webHidden/>
          </w:rPr>
          <w:tab/>
        </w:r>
        <w:r w:rsidR="008B5D5D">
          <w:rPr>
            <w:noProof/>
            <w:webHidden/>
          </w:rPr>
          <w:fldChar w:fldCharType="begin"/>
        </w:r>
        <w:r w:rsidR="008B5D5D">
          <w:rPr>
            <w:noProof/>
            <w:webHidden/>
          </w:rPr>
          <w:instrText xml:space="preserve"> PAGEREF _Toc26980495 \h </w:instrText>
        </w:r>
        <w:r w:rsidR="008B5D5D">
          <w:rPr>
            <w:noProof/>
            <w:webHidden/>
          </w:rPr>
        </w:r>
        <w:r w:rsidR="008B5D5D">
          <w:rPr>
            <w:noProof/>
            <w:webHidden/>
          </w:rPr>
          <w:fldChar w:fldCharType="separate"/>
        </w:r>
        <w:r w:rsidR="00142BD4">
          <w:rPr>
            <w:noProof/>
            <w:webHidden/>
          </w:rPr>
          <w:t>8</w:t>
        </w:r>
        <w:r w:rsidR="008B5D5D">
          <w:rPr>
            <w:noProof/>
            <w:webHidden/>
          </w:rPr>
          <w:fldChar w:fldCharType="end"/>
        </w:r>
      </w:hyperlink>
    </w:p>
    <w:p w14:paraId="70C5D172" w14:textId="58264598" w:rsidR="008B5D5D" w:rsidRDefault="004F6E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980496" w:history="1">
        <w:r w:rsidR="008B5D5D" w:rsidRPr="00365A4D">
          <w:rPr>
            <w:rStyle w:val="Hyperlink"/>
            <w:noProof/>
          </w:rPr>
          <w:t>2</w:t>
        </w:r>
        <w:r w:rsidR="008B5D5D">
          <w:rPr>
            <w:rFonts w:eastAsiaTheme="minorEastAsia" w:cstheme="minorBidi"/>
            <w:b w:val="0"/>
            <w:bCs w:val="0"/>
            <w:caps w:val="0"/>
            <w:noProof/>
            <w:sz w:val="22"/>
            <w:szCs w:val="22"/>
            <w:lang w:eastAsia="en-GB" w:bidi="ar-SA"/>
          </w:rPr>
          <w:tab/>
        </w:r>
        <w:r w:rsidR="008B5D5D" w:rsidRPr="00365A4D">
          <w:rPr>
            <w:rStyle w:val="Hyperlink"/>
            <w:noProof/>
          </w:rPr>
          <w:t>Risk assessment</w:t>
        </w:r>
        <w:r w:rsidR="008B5D5D">
          <w:rPr>
            <w:noProof/>
            <w:webHidden/>
          </w:rPr>
          <w:tab/>
        </w:r>
        <w:r w:rsidR="008B5D5D">
          <w:rPr>
            <w:noProof/>
            <w:webHidden/>
          </w:rPr>
          <w:fldChar w:fldCharType="begin"/>
        </w:r>
        <w:r w:rsidR="008B5D5D">
          <w:rPr>
            <w:noProof/>
            <w:webHidden/>
          </w:rPr>
          <w:instrText xml:space="preserve"> PAGEREF _Toc26980496 \h </w:instrText>
        </w:r>
        <w:r w:rsidR="008B5D5D">
          <w:rPr>
            <w:noProof/>
            <w:webHidden/>
          </w:rPr>
        </w:r>
        <w:r w:rsidR="008B5D5D">
          <w:rPr>
            <w:noProof/>
            <w:webHidden/>
          </w:rPr>
          <w:fldChar w:fldCharType="separate"/>
        </w:r>
        <w:r w:rsidR="00142BD4">
          <w:rPr>
            <w:noProof/>
            <w:webHidden/>
          </w:rPr>
          <w:t>8</w:t>
        </w:r>
        <w:r w:rsidR="008B5D5D">
          <w:rPr>
            <w:noProof/>
            <w:webHidden/>
          </w:rPr>
          <w:fldChar w:fldCharType="end"/>
        </w:r>
      </w:hyperlink>
    </w:p>
    <w:p w14:paraId="7000F2A7" w14:textId="146AF242" w:rsidR="008B5D5D" w:rsidRDefault="004F6E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980497" w:history="1">
        <w:r w:rsidR="008B5D5D" w:rsidRPr="00365A4D">
          <w:rPr>
            <w:rStyle w:val="Hyperlink"/>
            <w:noProof/>
          </w:rPr>
          <w:t>3</w:t>
        </w:r>
        <w:r w:rsidR="008B5D5D">
          <w:rPr>
            <w:rFonts w:eastAsiaTheme="minorEastAsia" w:cstheme="minorBidi"/>
            <w:b w:val="0"/>
            <w:bCs w:val="0"/>
            <w:caps w:val="0"/>
            <w:noProof/>
            <w:sz w:val="22"/>
            <w:szCs w:val="22"/>
            <w:lang w:eastAsia="en-GB" w:bidi="ar-SA"/>
          </w:rPr>
          <w:tab/>
        </w:r>
        <w:r w:rsidR="008B5D5D" w:rsidRPr="00365A4D">
          <w:rPr>
            <w:rStyle w:val="Hyperlink"/>
            <w:noProof/>
          </w:rPr>
          <w:t>Risk management</w:t>
        </w:r>
        <w:r w:rsidR="008B5D5D">
          <w:rPr>
            <w:noProof/>
            <w:webHidden/>
          </w:rPr>
          <w:tab/>
        </w:r>
        <w:r w:rsidR="008B5D5D">
          <w:rPr>
            <w:noProof/>
            <w:webHidden/>
          </w:rPr>
          <w:fldChar w:fldCharType="begin"/>
        </w:r>
        <w:r w:rsidR="008B5D5D">
          <w:rPr>
            <w:noProof/>
            <w:webHidden/>
          </w:rPr>
          <w:instrText xml:space="preserve"> PAGEREF _Toc26980497 \h </w:instrText>
        </w:r>
        <w:r w:rsidR="008B5D5D">
          <w:rPr>
            <w:noProof/>
            <w:webHidden/>
          </w:rPr>
        </w:r>
        <w:r w:rsidR="008B5D5D">
          <w:rPr>
            <w:noProof/>
            <w:webHidden/>
          </w:rPr>
          <w:fldChar w:fldCharType="separate"/>
        </w:r>
        <w:r w:rsidR="00142BD4">
          <w:rPr>
            <w:noProof/>
            <w:webHidden/>
          </w:rPr>
          <w:t>10</w:t>
        </w:r>
        <w:r w:rsidR="008B5D5D">
          <w:rPr>
            <w:noProof/>
            <w:webHidden/>
          </w:rPr>
          <w:fldChar w:fldCharType="end"/>
        </w:r>
      </w:hyperlink>
    </w:p>
    <w:p w14:paraId="6F69F4C4" w14:textId="0119BEE0" w:rsidR="008B5D5D" w:rsidRDefault="004F6ED5">
      <w:pPr>
        <w:pStyle w:val="TOC3"/>
        <w:rPr>
          <w:rFonts w:eastAsiaTheme="minorEastAsia" w:cstheme="minorBidi"/>
          <w:i w:val="0"/>
          <w:iCs w:val="0"/>
          <w:noProof/>
          <w:sz w:val="22"/>
          <w:szCs w:val="22"/>
          <w:lang w:eastAsia="en-GB" w:bidi="ar-SA"/>
        </w:rPr>
      </w:pPr>
      <w:hyperlink w:anchor="_Toc26980498" w:history="1">
        <w:r w:rsidR="008B5D5D" w:rsidRPr="00365A4D">
          <w:rPr>
            <w:rStyle w:val="Hyperlink"/>
            <w:noProof/>
          </w:rPr>
          <w:t>Potential allergenicity soy leghemoglobin and LegH Prep</w:t>
        </w:r>
        <w:r w:rsidR="008B5D5D">
          <w:rPr>
            <w:noProof/>
            <w:webHidden/>
          </w:rPr>
          <w:tab/>
        </w:r>
        <w:r w:rsidR="008B5D5D">
          <w:rPr>
            <w:noProof/>
            <w:webHidden/>
          </w:rPr>
          <w:fldChar w:fldCharType="begin"/>
        </w:r>
        <w:r w:rsidR="008B5D5D">
          <w:rPr>
            <w:noProof/>
            <w:webHidden/>
          </w:rPr>
          <w:instrText xml:space="preserve"> PAGEREF _Toc26980498 \h </w:instrText>
        </w:r>
        <w:r w:rsidR="008B5D5D">
          <w:rPr>
            <w:noProof/>
            <w:webHidden/>
          </w:rPr>
        </w:r>
        <w:r w:rsidR="008B5D5D">
          <w:rPr>
            <w:noProof/>
            <w:webHidden/>
          </w:rPr>
          <w:fldChar w:fldCharType="separate"/>
        </w:r>
        <w:r w:rsidR="00142BD4">
          <w:rPr>
            <w:noProof/>
            <w:webHidden/>
          </w:rPr>
          <w:t>10</w:t>
        </w:r>
        <w:r w:rsidR="008B5D5D">
          <w:rPr>
            <w:noProof/>
            <w:webHidden/>
          </w:rPr>
          <w:fldChar w:fldCharType="end"/>
        </w:r>
      </w:hyperlink>
    </w:p>
    <w:p w14:paraId="4EDFE608" w14:textId="36DE8C0F" w:rsidR="008B5D5D" w:rsidRDefault="004F6ED5">
      <w:pPr>
        <w:pStyle w:val="TOC3"/>
        <w:rPr>
          <w:rFonts w:eastAsiaTheme="minorEastAsia" w:cstheme="minorBidi"/>
          <w:i w:val="0"/>
          <w:iCs w:val="0"/>
          <w:noProof/>
          <w:sz w:val="22"/>
          <w:szCs w:val="22"/>
          <w:lang w:eastAsia="en-GB" w:bidi="ar-SA"/>
        </w:rPr>
      </w:pPr>
      <w:hyperlink w:anchor="_Toc26980499" w:history="1">
        <w:r w:rsidR="008B5D5D" w:rsidRPr="00365A4D">
          <w:rPr>
            <w:rStyle w:val="Hyperlink"/>
            <w:noProof/>
          </w:rPr>
          <w:t>Dietary intake of iron</w:t>
        </w:r>
        <w:r w:rsidR="008B5D5D">
          <w:rPr>
            <w:noProof/>
            <w:webHidden/>
          </w:rPr>
          <w:tab/>
        </w:r>
        <w:r w:rsidR="008B5D5D">
          <w:rPr>
            <w:noProof/>
            <w:webHidden/>
          </w:rPr>
          <w:fldChar w:fldCharType="begin"/>
        </w:r>
        <w:r w:rsidR="008B5D5D">
          <w:rPr>
            <w:noProof/>
            <w:webHidden/>
          </w:rPr>
          <w:instrText xml:space="preserve"> PAGEREF _Toc26980499 \h </w:instrText>
        </w:r>
        <w:r w:rsidR="008B5D5D">
          <w:rPr>
            <w:noProof/>
            <w:webHidden/>
          </w:rPr>
        </w:r>
        <w:r w:rsidR="008B5D5D">
          <w:rPr>
            <w:noProof/>
            <w:webHidden/>
          </w:rPr>
          <w:fldChar w:fldCharType="separate"/>
        </w:r>
        <w:r w:rsidR="00142BD4">
          <w:rPr>
            <w:noProof/>
            <w:webHidden/>
          </w:rPr>
          <w:t>10</w:t>
        </w:r>
        <w:r w:rsidR="008B5D5D">
          <w:rPr>
            <w:noProof/>
            <w:webHidden/>
          </w:rPr>
          <w:fldChar w:fldCharType="end"/>
        </w:r>
      </w:hyperlink>
    </w:p>
    <w:p w14:paraId="7E88B138" w14:textId="0DE0F939"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00" w:history="1">
        <w:r w:rsidR="008B5D5D" w:rsidRPr="00365A4D">
          <w:rPr>
            <w:rStyle w:val="Hyperlink"/>
            <w:rFonts w:eastAsia="Calibri"/>
            <w:noProof/>
          </w:rPr>
          <w:t>3.1</w:t>
        </w:r>
        <w:r w:rsidR="008B5D5D">
          <w:rPr>
            <w:rFonts w:eastAsiaTheme="minorEastAsia" w:cstheme="minorBidi"/>
            <w:smallCaps w:val="0"/>
            <w:noProof/>
            <w:sz w:val="22"/>
            <w:szCs w:val="22"/>
            <w:lang w:eastAsia="en-GB" w:bidi="ar-SA"/>
          </w:rPr>
          <w:tab/>
        </w:r>
        <w:r w:rsidR="008B5D5D" w:rsidRPr="00365A4D">
          <w:rPr>
            <w:rStyle w:val="Hyperlink"/>
            <w:rFonts w:eastAsia="Calibri"/>
            <w:noProof/>
          </w:rPr>
          <w:t>Required permission of use of soy leghemoglobin in the form of LegH Prep</w:t>
        </w:r>
        <w:r w:rsidR="008B5D5D">
          <w:rPr>
            <w:noProof/>
            <w:webHidden/>
          </w:rPr>
          <w:tab/>
        </w:r>
        <w:r w:rsidR="008B5D5D">
          <w:rPr>
            <w:noProof/>
            <w:webHidden/>
          </w:rPr>
          <w:fldChar w:fldCharType="begin"/>
        </w:r>
        <w:r w:rsidR="008B5D5D">
          <w:rPr>
            <w:noProof/>
            <w:webHidden/>
          </w:rPr>
          <w:instrText xml:space="preserve"> PAGEREF _Toc26980500 \h </w:instrText>
        </w:r>
        <w:r w:rsidR="008B5D5D">
          <w:rPr>
            <w:noProof/>
            <w:webHidden/>
          </w:rPr>
        </w:r>
        <w:r w:rsidR="008B5D5D">
          <w:rPr>
            <w:noProof/>
            <w:webHidden/>
          </w:rPr>
          <w:fldChar w:fldCharType="separate"/>
        </w:r>
        <w:r w:rsidR="00142BD4">
          <w:rPr>
            <w:noProof/>
            <w:webHidden/>
          </w:rPr>
          <w:t>10</w:t>
        </w:r>
        <w:r w:rsidR="008B5D5D">
          <w:rPr>
            <w:noProof/>
            <w:webHidden/>
          </w:rPr>
          <w:fldChar w:fldCharType="end"/>
        </w:r>
      </w:hyperlink>
    </w:p>
    <w:p w14:paraId="5D03BC42" w14:textId="201B9F21" w:rsidR="008B5D5D" w:rsidRDefault="004F6ED5">
      <w:pPr>
        <w:pStyle w:val="TOC3"/>
        <w:rPr>
          <w:rFonts w:eastAsiaTheme="minorEastAsia" w:cstheme="minorBidi"/>
          <w:i w:val="0"/>
          <w:iCs w:val="0"/>
          <w:noProof/>
          <w:sz w:val="22"/>
          <w:szCs w:val="22"/>
          <w:lang w:eastAsia="en-GB" w:bidi="ar-SA"/>
        </w:rPr>
      </w:pPr>
      <w:hyperlink w:anchor="_Toc26980501" w:history="1">
        <w:r w:rsidR="008B5D5D" w:rsidRPr="00365A4D">
          <w:rPr>
            <w:rStyle w:val="Hyperlink"/>
            <w:rFonts w:eastAsia="Calibri"/>
            <w:noProof/>
          </w:rPr>
          <w:t>3.1.1</w:t>
        </w:r>
        <w:r w:rsidR="008B5D5D">
          <w:rPr>
            <w:rFonts w:eastAsiaTheme="minorEastAsia" w:cstheme="minorBidi"/>
            <w:i w:val="0"/>
            <w:iCs w:val="0"/>
            <w:noProof/>
            <w:sz w:val="22"/>
            <w:szCs w:val="22"/>
            <w:lang w:eastAsia="en-GB" w:bidi="ar-SA"/>
          </w:rPr>
          <w:tab/>
        </w:r>
        <w:r w:rsidR="008B5D5D" w:rsidRPr="00365A4D">
          <w:rPr>
            <w:rStyle w:val="Hyperlink"/>
            <w:rFonts w:eastAsia="Calibri"/>
            <w:noProof/>
          </w:rPr>
          <w:t>Maximum permitted use level of soy leghemoglobin</w:t>
        </w:r>
        <w:r w:rsidR="008B5D5D">
          <w:rPr>
            <w:noProof/>
            <w:webHidden/>
          </w:rPr>
          <w:tab/>
        </w:r>
        <w:r w:rsidR="008B5D5D">
          <w:rPr>
            <w:noProof/>
            <w:webHidden/>
          </w:rPr>
          <w:fldChar w:fldCharType="begin"/>
        </w:r>
        <w:r w:rsidR="008B5D5D">
          <w:rPr>
            <w:noProof/>
            <w:webHidden/>
          </w:rPr>
          <w:instrText xml:space="preserve"> PAGEREF _Toc26980501 \h </w:instrText>
        </w:r>
        <w:r w:rsidR="008B5D5D">
          <w:rPr>
            <w:noProof/>
            <w:webHidden/>
          </w:rPr>
        </w:r>
        <w:r w:rsidR="008B5D5D">
          <w:rPr>
            <w:noProof/>
            <w:webHidden/>
          </w:rPr>
          <w:fldChar w:fldCharType="separate"/>
        </w:r>
        <w:r w:rsidR="00142BD4">
          <w:rPr>
            <w:noProof/>
            <w:webHidden/>
          </w:rPr>
          <w:t>10</w:t>
        </w:r>
        <w:r w:rsidR="008B5D5D">
          <w:rPr>
            <w:noProof/>
            <w:webHidden/>
          </w:rPr>
          <w:fldChar w:fldCharType="end"/>
        </w:r>
      </w:hyperlink>
    </w:p>
    <w:p w14:paraId="735A272F" w14:textId="64D469BD"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02" w:history="1">
        <w:r w:rsidR="008B5D5D" w:rsidRPr="00365A4D">
          <w:rPr>
            <w:rStyle w:val="Hyperlink"/>
            <w:noProof/>
          </w:rPr>
          <w:t>3.2</w:t>
        </w:r>
        <w:r w:rsidR="008B5D5D">
          <w:rPr>
            <w:rFonts w:eastAsiaTheme="minorEastAsia" w:cstheme="minorBidi"/>
            <w:smallCaps w:val="0"/>
            <w:noProof/>
            <w:sz w:val="22"/>
            <w:szCs w:val="22"/>
            <w:lang w:eastAsia="en-GB" w:bidi="ar-SA"/>
          </w:rPr>
          <w:tab/>
        </w:r>
        <w:r w:rsidR="008B5D5D" w:rsidRPr="00365A4D">
          <w:rPr>
            <w:rStyle w:val="Hyperlink"/>
            <w:noProof/>
          </w:rPr>
          <w:t>Labelling requirements</w:t>
        </w:r>
        <w:r w:rsidR="008B5D5D">
          <w:rPr>
            <w:noProof/>
            <w:webHidden/>
          </w:rPr>
          <w:tab/>
        </w:r>
        <w:r w:rsidR="008B5D5D">
          <w:rPr>
            <w:noProof/>
            <w:webHidden/>
          </w:rPr>
          <w:fldChar w:fldCharType="begin"/>
        </w:r>
        <w:r w:rsidR="008B5D5D">
          <w:rPr>
            <w:noProof/>
            <w:webHidden/>
          </w:rPr>
          <w:instrText xml:space="preserve"> PAGEREF _Toc26980502 \h </w:instrText>
        </w:r>
        <w:r w:rsidR="008B5D5D">
          <w:rPr>
            <w:noProof/>
            <w:webHidden/>
          </w:rPr>
        </w:r>
        <w:r w:rsidR="008B5D5D">
          <w:rPr>
            <w:noProof/>
            <w:webHidden/>
          </w:rPr>
          <w:fldChar w:fldCharType="separate"/>
        </w:r>
        <w:r w:rsidR="00142BD4">
          <w:rPr>
            <w:noProof/>
            <w:webHidden/>
          </w:rPr>
          <w:t>11</w:t>
        </w:r>
        <w:r w:rsidR="008B5D5D">
          <w:rPr>
            <w:noProof/>
            <w:webHidden/>
          </w:rPr>
          <w:fldChar w:fldCharType="end"/>
        </w:r>
      </w:hyperlink>
    </w:p>
    <w:p w14:paraId="649E35E6" w14:textId="119C4B74" w:rsidR="008B5D5D" w:rsidRDefault="004F6ED5">
      <w:pPr>
        <w:pStyle w:val="TOC3"/>
        <w:rPr>
          <w:rFonts w:eastAsiaTheme="minorEastAsia" w:cstheme="minorBidi"/>
          <w:i w:val="0"/>
          <w:iCs w:val="0"/>
          <w:noProof/>
          <w:sz w:val="22"/>
          <w:szCs w:val="22"/>
          <w:lang w:eastAsia="en-GB" w:bidi="ar-SA"/>
        </w:rPr>
      </w:pPr>
      <w:hyperlink w:anchor="_Toc26980503" w:history="1">
        <w:r w:rsidR="008B5D5D" w:rsidRPr="00365A4D">
          <w:rPr>
            <w:rStyle w:val="Hyperlink"/>
            <w:noProof/>
          </w:rPr>
          <w:t>3.2.1</w:t>
        </w:r>
        <w:r w:rsidR="008B5D5D">
          <w:rPr>
            <w:rFonts w:eastAsiaTheme="minorEastAsia" w:cstheme="minorBidi"/>
            <w:i w:val="0"/>
            <w:iCs w:val="0"/>
            <w:noProof/>
            <w:sz w:val="22"/>
            <w:szCs w:val="22"/>
            <w:lang w:eastAsia="en-GB" w:bidi="ar-SA"/>
          </w:rPr>
          <w:tab/>
        </w:r>
        <w:r w:rsidR="008B5D5D" w:rsidRPr="00365A4D">
          <w:rPr>
            <w:rStyle w:val="Hyperlink"/>
            <w:noProof/>
          </w:rPr>
          <w:t>Statement of ingredients</w:t>
        </w:r>
        <w:r w:rsidR="008B5D5D">
          <w:rPr>
            <w:noProof/>
            <w:webHidden/>
          </w:rPr>
          <w:tab/>
        </w:r>
        <w:r w:rsidR="008B5D5D">
          <w:rPr>
            <w:noProof/>
            <w:webHidden/>
          </w:rPr>
          <w:fldChar w:fldCharType="begin"/>
        </w:r>
        <w:r w:rsidR="008B5D5D">
          <w:rPr>
            <w:noProof/>
            <w:webHidden/>
          </w:rPr>
          <w:instrText xml:space="preserve"> PAGEREF _Toc26980503 \h </w:instrText>
        </w:r>
        <w:r w:rsidR="008B5D5D">
          <w:rPr>
            <w:noProof/>
            <w:webHidden/>
          </w:rPr>
        </w:r>
        <w:r w:rsidR="008B5D5D">
          <w:rPr>
            <w:noProof/>
            <w:webHidden/>
          </w:rPr>
          <w:fldChar w:fldCharType="separate"/>
        </w:r>
        <w:r w:rsidR="00142BD4">
          <w:rPr>
            <w:noProof/>
            <w:webHidden/>
          </w:rPr>
          <w:t>11</w:t>
        </w:r>
        <w:r w:rsidR="008B5D5D">
          <w:rPr>
            <w:noProof/>
            <w:webHidden/>
          </w:rPr>
          <w:fldChar w:fldCharType="end"/>
        </w:r>
      </w:hyperlink>
    </w:p>
    <w:p w14:paraId="2486B443" w14:textId="15B1DD17" w:rsidR="008B5D5D" w:rsidRDefault="004F6ED5">
      <w:pPr>
        <w:pStyle w:val="TOC3"/>
        <w:rPr>
          <w:rFonts w:eastAsiaTheme="minorEastAsia" w:cstheme="minorBidi"/>
          <w:i w:val="0"/>
          <w:iCs w:val="0"/>
          <w:noProof/>
          <w:sz w:val="22"/>
          <w:szCs w:val="22"/>
          <w:lang w:eastAsia="en-GB" w:bidi="ar-SA"/>
        </w:rPr>
      </w:pPr>
      <w:hyperlink w:anchor="_Toc26980504" w:history="1">
        <w:r w:rsidR="008B5D5D" w:rsidRPr="00365A4D">
          <w:rPr>
            <w:rStyle w:val="Hyperlink"/>
            <w:noProof/>
          </w:rPr>
          <w:t>3.2.2</w:t>
        </w:r>
        <w:r w:rsidR="008B5D5D">
          <w:rPr>
            <w:rFonts w:eastAsiaTheme="minorEastAsia" w:cstheme="minorBidi"/>
            <w:i w:val="0"/>
            <w:iCs w:val="0"/>
            <w:noProof/>
            <w:sz w:val="22"/>
            <w:szCs w:val="22"/>
            <w:lang w:eastAsia="en-GB" w:bidi="ar-SA"/>
          </w:rPr>
          <w:tab/>
        </w:r>
        <w:r w:rsidR="008B5D5D" w:rsidRPr="00365A4D">
          <w:rPr>
            <w:rStyle w:val="Hyperlink"/>
            <w:noProof/>
          </w:rPr>
          <w:t>Mandatory nutrition information</w:t>
        </w:r>
        <w:r w:rsidR="008B5D5D">
          <w:rPr>
            <w:noProof/>
            <w:webHidden/>
          </w:rPr>
          <w:tab/>
        </w:r>
        <w:r w:rsidR="008B5D5D">
          <w:rPr>
            <w:noProof/>
            <w:webHidden/>
          </w:rPr>
          <w:fldChar w:fldCharType="begin"/>
        </w:r>
        <w:r w:rsidR="008B5D5D">
          <w:rPr>
            <w:noProof/>
            <w:webHidden/>
          </w:rPr>
          <w:instrText xml:space="preserve"> PAGEREF _Toc26980504 \h </w:instrText>
        </w:r>
        <w:r w:rsidR="008B5D5D">
          <w:rPr>
            <w:noProof/>
            <w:webHidden/>
          </w:rPr>
        </w:r>
        <w:r w:rsidR="008B5D5D">
          <w:rPr>
            <w:noProof/>
            <w:webHidden/>
          </w:rPr>
          <w:fldChar w:fldCharType="separate"/>
        </w:r>
        <w:r w:rsidR="00142BD4">
          <w:rPr>
            <w:noProof/>
            <w:webHidden/>
          </w:rPr>
          <w:t>11</w:t>
        </w:r>
        <w:r w:rsidR="008B5D5D">
          <w:rPr>
            <w:noProof/>
            <w:webHidden/>
          </w:rPr>
          <w:fldChar w:fldCharType="end"/>
        </w:r>
      </w:hyperlink>
    </w:p>
    <w:p w14:paraId="5EBE43E8" w14:textId="7FA0D8DB" w:rsidR="008B5D5D" w:rsidRDefault="004F6ED5">
      <w:pPr>
        <w:pStyle w:val="TOC3"/>
        <w:rPr>
          <w:rFonts w:eastAsiaTheme="minorEastAsia" w:cstheme="minorBidi"/>
          <w:i w:val="0"/>
          <w:iCs w:val="0"/>
          <w:noProof/>
          <w:sz w:val="22"/>
          <w:szCs w:val="22"/>
          <w:lang w:eastAsia="en-GB" w:bidi="ar-SA"/>
        </w:rPr>
      </w:pPr>
      <w:hyperlink w:anchor="_Toc26980505" w:history="1">
        <w:r w:rsidR="008B5D5D" w:rsidRPr="00365A4D">
          <w:rPr>
            <w:rStyle w:val="Hyperlink"/>
            <w:noProof/>
          </w:rPr>
          <w:t>3.2.3</w:t>
        </w:r>
        <w:r w:rsidR="008B5D5D">
          <w:rPr>
            <w:rFonts w:eastAsiaTheme="minorEastAsia" w:cstheme="minorBidi"/>
            <w:i w:val="0"/>
            <w:iCs w:val="0"/>
            <w:noProof/>
            <w:sz w:val="22"/>
            <w:szCs w:val="22"/>
            <w:lang w:eastAsia="en-GB" w:bidi="ar-SA"/>
          </w:rPr>
          <w:tab/>
        </w:r>
        <w:r w:rsidR="008B5D5D" w:rsidRPr="00365A4D">
          <w:rPr>
            <w:rStyle w:val="Hyperlink"/>
            <w:noProof/>
          </w:rPr>
          <w:t>Voluntary representations</w:t>
        </w:r>
        <w:r w:rsidR="008B5D5D">
          <w:rPr>
            <w:noProof/>
            <w:webHidden/>
          </w:rPr>
          <w:tab/>
        </w:r>
        <w:r w:rsidR="008B5D5D">
          <w:rPr>
            <w:noProof/>
            <w:webHidden/>
          </w:rPr>
          <w:fldChar w:fldCharType="begin"/>
        </w:r>
        <w:r w:rsidR="008B5D5D">
          <w:rPr>
            <w:noProof/>
            <w:webHidden/>
          </w:rPr>
          <w:instrText xml:space="preserve"> PAGEREF _Toc26980505 \h </w:instrText>
        </w:r>
        <w:r w:rsidR="008B5D5D">
          <w:rPr>
            <w:noProof/>
            <w:webHidden/>
          </w:rPr>
        </w:r>
        <w:r w:rsidR="008B5D5D">
          <w:rPr>
            <w:noProof/>
            <w:webHidden/>
          </w:rPr>
          <w:fldChar w:fldCharType="separate"/>
        </w:r>
        <w:r w:rsidR="00142BD4">
          <w:rPr>
            <w:noProof/>
            <w:webHidden/>
          </w:rPr>
          <w:t>11</w:t>
        </w:r>
        <w:r w:rsidR="008B5D5D">
          <w:rPr>
            <w:noProof/>
            <w:webHidden/>
          </w:rPr>
          <w:fldChar w:fldCharType="end"/>
        </w:r>
      </w:hyperlink>
    </w:p>
    <w:p w14:paraId="444005C1" w14:textId="73A5F577" w:rsidR="008B5D5D" w:rsidRDefault="004F6ED5">
      <w:pPr>
        <w:pStyle w:val="TOC3"/>
        <w:rPr>
          <w:rFonts w:eastAsiaTheme="minorEastAsia" w:cstheme="minorBidi"/>
          <w:i w:val="0"/>
          <w:iCs w:val="0"/>
          <w:noProof/>
          <w:sz w:val="22"/>
          <w:szCs w:val="22"/>
          <w:lang w:eastAsia="en-GB" w:bidi="ar-SA"/>
        </w:rPr>
      </w:pPr>
      <w:hyperlink w:anchor="_Toc26980506" w:history="1">
        <w:r w:rsidR="008B5D5D" w:rsidRPr="00365A4D">
          <w:rPr>
            <w:rStyle w:val="Hyperlink"/>
            <w:noProof/>
          </w:rPr>
          <w:t>3.2.4</w:t>
        </w:r>
        <w:r w:rsidR="008B5D5D">
          <w:rPr>
            <w:rFonts w:eastAsiaTheme="minorEastAsia" w:cstheme="minorBidi"/>
            <w:i w:val="0"/>
            <w:iCs w:val="0"/>
            <w:noProof/>
            <w:sz w:val="22"/>
            <w:szCs w:val="22"/>
            <w:lang w:eastAsia="en-GB" w:bidi="ar-SA"/>
          </w:rPr>
          <w:tab/>
        </w:r>
        <w:r w:rsidR="008B5D5D" w:rsidRPr="00365A4D">
          <w:rPr>
            <w:rStyle w:val="Hyperlink"/>
            <w:noProof/>
          </w:rPr>
          <w:t>Declaration of certain substances</w:t>
        </w:r>
        <w:r w:rsidR="008B5D5D">
          <w:rPr>
            <w:noProof/>
            <w:webHidden/>
          </w:rPr>
          <w:tab/>
        </w:r>
        <w:r w:rsidR="008B5D5D">
          <w:rPr>
            <w:noProof/>
            <w:webHidden/>
          </w:rPr>
          <w:fldChar w:fldCharType="begin"/>
        </w:r>
        <w:r w:rsidR="008B5D5D">
          <w:rPr>
            <w:noProof/>
            <w:webHidden/>
          </w:rPr>
          <w:instrText xml:space="preserve"> PAGEREF _Toc26980506 \h </w:instrText>
        </w:r>
        <w:r w:rsidR="008B5D5D">
          <w:rPr>
            <w:noProof/>
            <w:webHidden/>
          </w:rPr>
        </w:r>
        <w:r w:rsidR="008B5D5D">
          <w:rPr>
            <w:noProof/>
            <w:webHidden/>
          </w:rPr>
          <w:fldChar w:fldCharType="separate"/>
        </w:r>
        <w:r w:rsidR="00142BD4">
          <w:rPr>
            <w:noProof/>
            <w:webHidden/>
          </w:rPr>
          <w:t>11</w:t>
        </w:r>
        <w:r w:rsidR="008B5D5D">
          <w:rPr>
            <w:noProof/>
            <w:webHidden/>
          </w:rPr>
          <w:fldChar w:fldCharType="end"/>
        </w:r>
      </w:hyperlink>
    </w:p>
    <w:p w14:paraId="67299B39" w14:textId="10ECB5FC" w:rsidR="008B5D5D" w:rsidRDefault="004F6ED5">
      <w:pPr>
        <w:pStyle w:val="TOC3"/>
        <w:rPr>
          <w:rFonts w:eastAsiaTheme="minorEastAsia" w:cstheme="minorBidi"/>
          <w:i w:val="0"/>
          <w:iCs w:val="0"/>
          <w:noProof/>
          <w:sz w:val="22"/>
          <w:szCs w:val="22"/>
          <w:lang w:eastAsia="en-GB" w:bidi="ar-SA"/>
        </w:rPr>
      </w:pPr>
      <w:hyperlink w:anchor="_Toc26980507" w:history="1">
        <w:r w:rsidR="008B5D5D" w:rsidRPr="00365A4D">
          <w:rPr>
            <w:rStyle w:val="Hyperlink"/>
            <w:noProof/>
          </w:rPr>
          <w:t>3.2.5</w:t>
        </w:r>
        <w:r w:rsidR="008B5D5D">
          <w:rPr>
            <w:rFonts w:eastAsiaTheme="minorEastAsia" w:cstheme="minorBidi"/>
            <w:i w:val="0"/>
            <w:iCs w:val="0"/>
            <w:noProof/>
            <w:sz w:val="22"/>
            <w:szCs w:val="22"/>
            <w:lang w:eastAsia="en-GB" w:bidi="ar-SA"/>
          </w:rPr>
          <w:tab/>
        </w:r>
        <w:r w:rsidR="008B5D5D" w:rsidRPr="00365A4D">
          <w:rPr>
            <w:rStyle w:val="Hyperlink"/>
            <w:noProof/>
          </w:rPr>
          <w:t>Labelling as ‘genetically modified’</w:t>
        </w:r>
        <w:r w:rsidR="008B5D5D">
          <w:rPr>
            <w:noProof/>
            <w:webHidden/>
          </w:rPr>
          <w:tab/>
        </w:r>
        <w:r w:rsidR="008B5D5D">
          <w:rPr>
            <w:noProof/>
            <w:webHidden/>
          </w:rPr>
          <w:fldChar w:fldCharType="begin"/>
        </w:r>
        <w:r w:rsidR="008B5D5D">
          <w:rPr>
            <w:noProof/>
            <w:webHidden/>
          </w:rPr>
          <w:instrText xml:space="preserve"> PAGEREF _Toc26980507 \h </w:instrText>
        </w:r>
        <w:r w:rsidR="008B5D5D">
          <w:rPr>
            <w:noProof/>
            <w:webHidden/>
          </w:rPr>
        </w:r>
        <w:r w:rsidR="008B5D5D">
          <w:rPr>
            <w:noProof/>
            <w:webHidden/>
          </w:rPr>
          <w:fldChar w:fldCharType="separate"/>
        </w:r>
        <w:r w:rsidR="00142BD4">
          <w:rPr>
            <w:noProof/>
            <w:webHidden/>
          </w:rPr>
          <w:t>12</w:t>
        </w:r>
        <w:r w:rsidR="008B5D5D">
          <w:rPr>
            <w:noProof/>
            <w:webHidden/>
          </w:rPr>
          <w:fldChar w:fldCharType="end"/>
        </w:r>
      </w:hyperlink>
    </w:p>
    <w:p w14:paraId="4234B8F1" w14:textId="15BB5006"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08" w:history="1">
        <w:r w:rsidR="008B5D5D" w:rsidRPr="00365A4D">
          <w:rPr>
            <w:rStyle w:val="Hyperlink"/>
            <w:rFonts w:eastAsia="Calibri"/>
            <w:noProof/>
          </w:rPr>
          <w:t>3.3</w:t>
        </w:r>
        <w:r w:rsidR="008B5D5D">
          <w:rPr>
            <w:rFonts w:eastAsiaTheme="minorEastAsia" w:cstheme="minorBidi"/>
            <w:smallCaps w:val="0"/>
            <w:noProof/>
            <w:sz w:val="22"/>
            <w:szCs w:val="22"/>
            <w:lang w:eastAsia="en-GB" w:bidi="ar-SA"/>
          </w:rPr>
          <w:tab/>
        </w:r>
        <w:r w:rsidR="008B5D5D" w:rsidRPr="00365A4D">
          <w:rPr>
            <w:rStyle w:val="Hyperlink"/>
            <w:noProof/>
          </w:rPr>
          <w:t>Ministerial Policy Guidelines</w:t>
        </w:r>
        <w:r w:rsidR="008B5D5D">
          <w:rPr>
            <w:noProof/>
            <w:webHidden/>
          </w:rPr>
          <w:tab/>
        </w:r>
        <w:r w:rsidR="008B5D5D">
          <w:rPr>
            <w:noProof/>
            <w:webHidden/>
          </w:rPr>
          <w:fldChar w:fldCharType="begin"/>
        </w:r>
        <w:r w:rsidR="008B5D5D">
          <w:rPr>
            <w:noProof/>
            <w:webHidden/>
          </w:rPr>
          <w:instrText xml:space="preserve"> PAGEREF _Toc26980508 \h </w:instrText>
        </w:r>
        <w:r w:rsidR="008B5D5D">
          <w:rPr>
            <w:noProof/>
            <w:webHidden/>
          </w:rPr>
        </w:r>
        <w:r w:rsidR="008B5D5D">
          <w:rPr>
            <w:noProof/>
            <w:webHidden/>
          </w:rPr>
          <w:fldChar w:fldCharType="separate"/>
        </w:r>
        <w:r w:rsidR="00142BD4">
          <w:rPr>
            <w:noProof/>
            <w:webHidden/>
          </w:rPr>
          <w:t>12</w:t>
        </w:r>
        <w:r w:rsidR="008B5D5D">
          <w:rPr>
            <w:noProof/>
            <w:webHidden/>
          </w:rPr>
          <w:fldChar w:fldCharType="end"/>
        </w:r>
      </w:hyperlink>
    </w:p>
    <w:p w14:paraId="7BA7CA37" w14:textId="68252EEE"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09" w:history="1">
        <w:r w:rsidR="008B5D5D" w:rsidRPr="00365A4D">
          <w:rPr>
            <w:rStyle w:val="Hyperlink"/>
            <w:noProof/>
          </w:rPr>
          <w:t>3.4</w:t>
        </w:r>
        <w:r w:rsidR="008B5D5D">
          <w:rPr>
            <w:rFonts w:eastAsiaTheme="minorEastAsia" w:cstheme="minorBidi"/>
            <w:smallCaps w:val="0"/>
            <w:noProof/>
            <w:sz w:val="22"/>
            <w:szCs w:val="22"/>
            <w:lang w:eastAsia="en-GB" w:bidi="ar-SA"/>
          </w:rPr>
          <w:tab/>
        </w:r>
        <w:r w:rsidR="008B5D5D" w:rsidRPr="00365A4D">
          <w:rPr>
            <w:rStyle w:val="Hyperlink"/>
            <w:noProof/>
          </w:rPr>
          <w:t>Conclusion</w:t>
        </w:r>
        <w:r w:rsidR="008B5D5D">
          <w:rPr>
            <w:noProof/>
            <w:webHidden/>
          </w:rPr>
          <w:tab/>
        </w:r>
        <w:r w:rsidR="008B5D5D">
          <w:rPr>
            <w:noProof/>
            <w:webHidden/>
          </w:rPr>
          <w:fldChar w:fldCharType="begin"/>
        </w:r>
        <w:r w:rsidR="008B5D5D">
          <w:rPr>
            <w:noProof/>
            <w:webHidden/>
          </w:rPr>
          <w:instrText xml:space="preserve"> PAGEREF _Toc26980509 \h </w:instrText>
        </w:r>
        <w:r w:rsidR="008B5D5D">
          <w:rPr>
            <w:noProof/>
            <w:webHidden/>
          </w:rPr>
        </w:r>
        <w:r w:rsidR="008B5D5D">
          <w:rPr>
            <w:noProof/>
            <w:webHidden/>
          </w:rPr>
          <w:fldChar w:fldCharType="separate"/>
        </w:r>
        <w:r w:rsidR="00142BD4">
          <w:rPr>
            <w:noProof/>
            <w:webHidden/>
          </w:rPr>
          <w:t>12</w:t>
        </w:r>
        <w:r w:rsidR="008B5D5D">
          <w:rPr>
            <w:noProof/>
            <w:webHidden/>
          </w:rPr>
          <w:fldChar w:fldCharType="end"/>
        </w:r>
      </w:hyperlink>
    </w:p>
    <w:p w14:paraId="6F05A9EC" w14:textId="3055F161" w:rsidR="008B5D5D" w:rsidRDefault="004F6E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980510" w:history="1">
        <w:r w:rsidR="008B5D5D" w:rsidRPr="00365A4D">
          <w:rPr>
            <w:rStyle w:val="Hyperlink"/>
            <w:noProof/>
          </w:rPr>
          <w:t>4</w:t>
        </w:r>
        <w:r w:rsidR="008B5D5D">
          <w:rPr>
            <w:rFonts w:eastAsiaTheme="minorEastAsia" w:cstheme="minorBidi"/>
            <w:b w:val="0"/>
            <w:bCs w:val="0"/>
            <w:caps w:val="0"/>
            <w:noProof/>
            <w:sz w:val="22"/>
            <w:szCs w:val="22"/>
            <w:lang w:eastAsia="en-GB" w:bidi="ar-SA"/>
          </w:rPr>
          <w:tab/>
        </w:r>
        <w:r w:rsidR="008B5D5D" w:rsidRPr="00365A4D">
          <w:rPr>
            <w:rStyle w:val="Hyperlink"/>
            <w:noProof/>
          </w:rPr>
          <w:t>Risk communication</w:t>
        </w:r>
        <w:r w:rsidR="008B5D5D">
          <w:rPr>
            <w:noProof/>
            <w:webHidden/>
          </w:rPr>
          <w:tab/>
        </w:r>
        <w:r w:rsidR="008B5D5D">
          <w:rPr>
            <w:noProof/>
            <w:webHidden/>
          </w:rPr>
          <w:fldChar w:fldCharType="begin"/>
        </w:r>
        <w:r w:rsidR="008B5D5D">
          <w:rPr>
            <w:noProof/>
            <w:webHidden/>
          </w:rPr>
          <w:instrText xml:space="preserve"> PAGEREF _Toc26980510 \h </w:instrText>
        </w:r>
        <w:r w:rsidR="008B5D5D">
          <w:rPr>
            <w:noProof/>
            <w:webHidden/>
          </w:rPr>
        </w:r>
        <w:r w:rsidR="008B5D5D">
          <w:rPr>
            <w:noProof/>
            <w:webHidden/>
          </w:rPr>
          <w:fldChar w:fldCharType="separate"/>
        </w:r>
        <w:r w:rsidR="00142BD4">
          <w:rPr>
            <w:noProof/>
            <w:webHidden/>
          </w:rPr>
          <w:t>13</w:t>
        </w:r>
        <w:r w:rsidR="008B5D5D">
          <w:rPr>
            <w:noProof/>
            <w:webHidden/>
          </w:rPr>
          <w:fldChar w:fldCharType="end"/>
        </w:r>
      </w:hyperlink>
    </w:p>
    <w:p w14:paraId="4754AC02" w14:textId="7B154F81"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11" w:history="1">
        <w:r w:rsidR="008B5D5D" w:rsidRPr="00365A4D">
          <w:rPr>
            <w:rStyle w:val="Hyperlink"/>
            <w:noProof/>
          </w:rPr>
          <w:t>4.1</w:t>
        </w:r>
        <w:r w:rsidR="008B5D5D">
          <w:rPr>
            <w:rFonts w:eastAsiaTheme="minorEastAsia" w:cstheme="minorBidi"/>
            <w:smallCaps w:val="0"/>
            <w:noProof/>
            <w:sz w:val="22"/>
            <w:szCs w:val="22"/>
            <w:lang w:eastAsia="en-GB" w:bidi="ar-SA"/>
          </w:rPr>
          <w:tab/>
        </w:r>
        <w:r w:rsidR="008B5D5D" w:rsidRPr="00365A4D">
          <w:rPr>
            <w:rStyle w:val="Hyperlink"/>
            <w:noProof/>
          </w:rPr>
          <w:t>Consultation</w:t>
        </w:r>
        <w:r w:rsidR="008B5D5D">
          <w:rPr>
            <w:noProof/>
            <w:webHidden/>
          </w:rPr>
          <w:tab/>
        </w:r>
        <w:r w:rsidR="008B5D5D">
          <w:rPr>
            <w:noProof/>
            <w:webHidden/>
          </w:rPr>
          <w:fldChar w:fldCharType="begin"/>
        </w:r>
        <w:r w:rsidR="008B5D5D">
          <w:rPr>
            <w:noProof/>
            <w:webHidden/>
          </w:rPr>
          <w:instrText xml:space="preserve"> PAGEREF _Toc26980511 \h </w:instrText>
        </w:r>
        <w:r w:rsidR="008B5D5D">
          <w:rPr>
            <w:noProof/>
            <w:webHidden/>
          </w:rPr>
        </w:r>
        <w:r w:rsidR="008B5D5D">
          <w:rPr>
            <w:noProof/>
            <w:webHidden/>
          </w:rPr>
          <w:fldChar w:fldCharType="separate"/>
        </w:r>
        <w:r w:rsidR="00142BD4">
          <w:rPr>
            <w:noProof/>
            <w:webHidden/>
          </w:rPr>
          <w:t>13</w:t>
        </w:r>
        <w:r w:rsidR="008B5D5D">
          <w:rPr>
            <w:noProof/>
            <w:webHidden/>
          </w:rPr>
          <w:fldChar w:fldCharType="end"/>
        </w:r>
      </w:hyperlink>
    </w:p>
    <w:p w14:paraId="1657AA83" w14:textId="5A370C60"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12" w:history="1">
        <w:r w:rsidR="008B5D5D" w:rsidRPr="00365A4D">
          <w:rPr>
            <w:rStyle w:val="Hyperlink"/>
            <w:noProof/>
          </w:rPr>
          <w:t>4.2</w:t>
        </w:r>
        <w:r w:rsidR="008B5D5D">
          <w:rPr>
            <w:rFonts w:eastAsiaTheme="minorEastAsia" w:cstheme="minorBidi"/>
            <w:smallCaps w:val="0"/>
            <w:noProof/>
            <w:sz w:val="22"/>
            <w:szCs w:val="22"/>
            <w:lang w:eastAsia="en-GB" w:bidi="ar-SA"/>
          </w:rPr>
          <w:tab/>
        </w:r>
        <w:r w:rsidR="008B5D5D" w:rsidRPr="00365A4D">
          <w:rPr>
            <w:rStyle w:val="Hyperlink"/>
            <w:noProof/>
          </w:rPr>
          <w:t>World Trade Organization (WTO)</w:t>
        </w:r>
        <w:r w:rsidR="008B5D5D">
          <w:rPr>
            <w:noProof/>
            <w:webHidden/>
          </w:rPr>
          <w:tab/>
        </w:r>
        <w:r w:rsidR="008B5D5D">
          <w:rPr>
            <w:noProof/>
            <w:webHidden/>
          </w:rPr>
          <w:fldChar w:fldCharType="begin"/>
        </w:r>
        <w:r w:rsidR="008B5D5D">
          <w:rPr>
            <w:noProof/>
            <w:webHidden/>
          </w:rPr>
          <w:instrText xml:space="preserve"> PAGEREF _Toc26980512 \h </w:instrText>
        </w:r>
        <w:r w:rsidR="008B5D5D">
          <w:rPr>
            <w:noProof/>
            <w:webHidden/>
          </w:rPr>
        </w:r>
        <w:r w:rsidR="008B5D5D">
          <w:rPr>
            <w:noProof/>
            <w:webHidden/>
          </w:rPr>
          <w:fldChar w:fldCharType="separate"/>
        </w:r>
        <w:r w:rsidR="00142BD4">
          <w:rPr>
            <w:noProof/>
            <w:webHidden/>
          </w:rPr>
          <w:t>13</w:t>
        </w:r>
        <w:r w:rsidR="008B5D5D">
          <w:rPr>
            <w:noProof/>
            <w:webHidden/>
          </w:rPr>
          <w:fldChar w:fldCharType="end"/>
        </w:r>
      </w:hyperlink>
    </w:p>
    <w:p w14:paraId="3C3518A4" w14:textId="78DBFBBB" w:rsidR="008B5D5D" w:rsidRDefault="004F6E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980513" w:history="1">
        <w:r w:rsidR="008B5D5D" w:rsidRPr="00365A4D">
          <w:rPr>
            <w:rStyle w:val="Hyperlink"/>
            <w:noProof/>
          </w:rPr>
          <w:t>5</w:t>
        </w:r>
        <w:r w:rsidR="008B5D5D">
          <w:rPr>
            <w:rFonts w:eastAsiaTheme="minorEastAsia" w:cstheme="minorBidi"/>
            <w:b w:val="0"/>
            <w:bCs w:val="0"/>
            <w:caps w:val="0"/>
            <w:noProof/>
            <w:sz w:val="22"/>
            <w:szCs w:val="22"/>
            <w:lang w:eastAsia="en-GB" w:bidi="ar-SA"/>
          </w:rPr>
          <w:tab/>
        </w:r>
        <w:r w:rsidR="008B5D5D" w:rsidRPr="00365A4D">
          <w:rPr>
            <w:rStyle w:val="Hyperlink"/>
            <w:noProof/>
          </w:rPr>
          <w:t>FSANZ Act assessment requirements</w:t>
        </w:r>
        <w:r w:rsidR="008B5D5D">
          <w:rPr>
            <w:noProof/>
            <w:webHidden/>
          </w:rPr>
          <w:tab/>
        </w:r>
        <w:r w:rsidR="008B5D5D">
          <w:rPr>
            <w:noProof/>
            <w:webHidden/>
          </w:rPr>
          <w:fldChar w:fldCharType="begin"/>
        </w:r>
        <w:r w:rsidR="008B5D5D">
          <w:rPr>
            <w:noProof/>
            <w:webHidden/>
          </w:rPr>
          <w:instrText xml:space="preserve"> PAGEREF _Toc26980513 \h </w:instrText>
        </w:r>
        <w:r w:rsidR="008B5D5D">
          <w:rPr>
            <w:noProof/>
            <w:webHidden/>
          </w:rPr>
        </w:r>
        <w:r w:rsidR="008B5D5D">
          <w:rPr>
            <w:noProof/>
            <w:webHidden/>
          </w:rPr>
          <w:fldChar w:fldCharType="separate"/>
        </w:r>
        <w:r w:rsidR="00142BD4">
          <w:rPr>
            <w:noProof/>
            <w:webHidden/>
          </w:rPr>
          <w:t>13</w:t>
        </w:r>
        <w:r w:rsidR="008B5D5D">
          <w:rPr>
            <w:noProof/>
            <w:webHidden/>
          </w:rPr>
          <w:fldChar w:fldCharType="end"/>
        </w:r>
      </w:hyperlink>
    </w:p>
    <w:p w14:paraId="5BFF1621" w14:textId="0FCB340C"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14" w:history="1">
        <w:r w:rsidR="008B5D5D" w:rsidRPr="00365A4D">
          <w:rPr>
            <w:rStyle w:val="Hyperlink"/>
            <w:noProof/>
          </w:rPr>
          <w:t>5.1</w:t>
        </w:r>
        <w:r w:rsidR="008B5D5D">
          <w:rPr>
            <w:rFonts w:eastAsiaTheme="minorEastAsia" w:cstheme="minorBidi"/>
            <w:smallCaps w:val="0"/>
            <w:noProof/>
            <w:sz w:val="22"/>
            <w:szCs w:val="22"/>
            <w:lang w:eastAsia="en-GB" w:bidi="ar-SA"/>
          </w:rPr>
          <w:tab/>
        </w:r>
        <w:r w:rsidR="008B5D5D" w:rsidRPr="00365A4D">
          <w:rPr>
            <w:rStyle w:val="Hyperlink"/>
            <w:noProof/>
          </w:rPr>
          <w:t>Section 29</w:t>
        </w:r>
        <w:r w:rsidR="008B5D5D">
          <w:rPr>
            <w:noProof/>
            <w:webHidden/>
          </w:rPr>
          <w:tab/>
        </w:r>
        <w:r w:rsidR="008B5D5D">
          <w:rPr>
            <w:noProof/>
            <w:webHidden/>
          </w:rPr>
          <w:fldChar w:fldCharType="begin"/>
        </w:r>
        <w:r w:rsidR="008B5D5D">
          <w:rPr>
            <w:noProof/>
            <w:webHidden/>
          </w:rPr>
          <w:instrText xml:space="preserve"> PAGEREF _Toc26980514 \h </w:instrText>
        </w:r>
        <w:r w:rsidR="008B5D5D">
          <w:rPr>
            <w:noProof/>
            <w:webHidden/>
          </w:rPr>
        </w:r>
        <w:r w:rsidR="008B5D5D">
          <w:rPr>
            <w:noProof/>
            <w:webHidden/>
          </w:rPr>
          <w:fldChar w:fldCharType="separate"/>
        </w:r>
        <w:r w:rsidR="00142BD4">
          <w:rPr>
            <w:noProof/>
            <w:webHidden/>
          </w:rPr>
          <w:t>13</w:t>
        </w:r>
        <w:r w:rsidR="008B5D5D">
          <w:rPr>
            <w:noProof/>
            <w:webHidden/>
          </w:rPr>
          <w:fldChar w:fldCharType="end"/>
        </w:r>
      </w:hyperlink>
    </w:p>
    <w:p w14:paraId="6400E5EC" w14:textId="03CD5FEF" w:rsidR="008B5D5D" w:rsidRDefault="004F6ED5">
      <w:pPr>
        <w:pStyle w:val="TOC3"/>
        <w:rPr>
          <w:rFonts w:eastAsiaTheme="minorEastAsia" w:cstheme="minorBidi"/>
          <w:i w:val="0"/>
          <w:iCs w:val="0"/>
          <w:noProof/>
          <w:sz w:val="22"/>
          <w:szCs w:val="22"/>
          <w:lang w:eastAsia="en-GB" w:bidi="ar-SA"/>
        </w:rPr>
      </w:pPr>
      <w:hyperlink w:anchor="_Toc26980515" w:history="1">
        <w:r w:rsidR="008B5D5D" w:rsidRPr="00365A4D">
          <w:rPr>
            <w:rStyle w:val="Hyperlink"/>
            <w:noProof/>
          </w:rPr>
          <w:t>5.1.1</w:t>
        </w:r>
        <w:r w:rsidR="008B5D5D">
          <w:rPr>
            <w:rFonts w:eastAsiaTheme="minorEastAsia" w:cstheme="minorBidi"/>
            <w:i w:val="0"/>
            <w:iCs w:val="0"/>
            <w:noProof/>
            <w:sz w:val="22"/>
            <w:szCs w:val="22"/>
            <w:lang w:eastAsia="en-GB" w:bidi="ar-SA"/>
          </w:rPr>
          <w:tab/>
        </w:r>
        <w:r w:rsidR="008B5D5D" w:rsidRPr="00365A4D">
          <w:rPr>
            <w:rStyle w:val="Hyperlink"/>
            <w:noProof/>
          </w:rPr>
          <w:t>Co</w:t>
        </w:r>
        <w:r w:rsidR="008B5D5D" w:rsidRPr="00365A4D">
          <w:rPr>
            <w:rStyle w:val="Hyperlink"/>
            <w:noProof/>
            <w:lang w:val="en-AU"/>
          </w:rPr>
          <w:t>nsideration of costs and benefits</w:t>
        </w:r>
        <w:r w:rsidR="008B5D5D">
          <w:rPr>
            <w:noProof/>
            <w:webHidden/>
          </w:rPr>
          <w:tab/>
        </w:r>
        <w:r w:rsidR="008B5D5D">
          <w:rPr>
            <w:noProof/>
            <w:webHidden/>
          </w:rPr>
          <w:fldChar w:fldCharType="begin"/>
        </w:r>
        <w:r w:rsidR="008B5D5D">
          <w:rPr>
            <w:noProof/>
            <w:webHidden/>
          </w:rPr>
          <w:instrText xml:space="preserve"> PAGEREF _Toc26980515 \h </w:instrText>
        </w:r>
        <w:r w:rsidR="008B5D5D">
          <w:rPr>
            <w:noProof/>
            <w:webHidden/>
          </w:rPr>
        </w:r>
        <w:r w:rsidR="008B5D5D">
          <w:rPr>
            <w:noProof/>
            <w:webHidden/>
          </w:rPr>
          <w:fldChar w:fldCharType="separate"/>
        </w:r>
        <w:r w:rsidR="00142BD4">
          <w:rPr>
            <w:noProof/>
            <w:webHidden/>
          </w:rPr>
          <w:t>13</w:t>
        </w:r>
        <w:r w:rsidR="008B5D5D">
          <w:rPr>
            <w:noProof/>
            <w:webHidden/>
          </w:rPr>
          <w:fldChar w:fldCharType="end"/>
        </w:r>
      </w:hyperlink>
    </w:p>
    <w:p w14:paraId="11818B32" w14:textId="717B87DB" w:rsidR="008B5D5D" w:rsidRDefault="004F6ED5">
      <w:pPr>
        <w:pStyle w:val="TOC3"/>
        <w:rPr>
          <w:rFonts w:eastAsiaTheme="minorEastAsia" w:cstheme="minorBidi"/>
          <w:i w:val="0"/>
          <w:iCs w:val="0"/>
          <w:noProof/>
          <w:sz w:val="22"/>
          <w:szCs w:val="22"/>
          <w:lang w:eastAsia="en-GB" w:bidi="ar-SA"/>
        </w:rPr>
      </w:pPr>
      <w:hyperlink w:anchor="_Toc26980516" w:history="1">
        <w:r w:rsidR="008B5D5D" w:rsidRPr="00365A4D">
          <w:rPr>
            <w:rStyle w:val="Hyperlink"/>
            <w:noProof/>
          </w:rPr>
          <w:t>5.1.2</w:t>
        </w:r>
        <w:r w:rsidR="008B5D5D">
          <w:rPr>
            <w:rFonts w:eastAsiaTheme="minorEastAsia" w:cstheme="minorBidi"/>
            <w:i w:val="0"/>
            <w:iCs w:val="0"/>
            <w:noProof/>
            <w:sz w:val="22"/>
            <w:szCs w:val="22"/>
            <w:lang w:eastAsia="en-GB" w:bidi="ar-SA"/>
          </w:rPr>
          <w:tab/>
        </w:r>
        <w:r w:rsidR="008B5D5D" w:rsidRPr="00365A4D">
          <w:rPr>
            <w:rStyle w:val="Hyperlink"/>
            <w:noProof/>
          </w:rPr>
          <w:t>Other measures</w:t>
        </w:r>
        <w:r w:rsidR="008B5D5D">
          <w:rPr>
            <w:noProof/>
            <w:webHidden/>
          </w:rPr>
          <w:tab/>
        </w:r>
        <w:r w:rsidR="008B5D5D">
          <w:rPr>
            <w:noProof/>
            <w:webHidden/>
          </w:rPr>
          <w:fldChar w:fldCharType="begin"/>
        </w:r>
        <w:r w:rsidR="008B5D5D">
          <w:rPr>
            <w:noProof/>
            <w:webHidden/>
          </w:rPr>
          <w:instrText xml:space="preserve"> PAGEREF _Toc26980516 \h </w:instrText>
        </w:r>
        <w:r w:rsidR="008B5D5D">
          <w:rPr>
            <w:noProof/>
            <w:webHidden/>
          </w:rPr>
        </w:r>
        <w:r w:rsidR="008B5D5D">
          <w:rPr>
            <w:noProof/>
            <w:webHidden/>
          </w:rPr>
          <w:fldChar w:fldCharType="separate"/>
        </w:r>
        <w:r w:rsidR="00142BD4">
          <w:rPr>
            <w:noProof/>
            <w:webHidden/>
          </w:rPr>
          <w:t>15</w:t>
        </w:r>
        <w:r w:rsidR="008B5D5D">
          <w:rPr>
            <w:noProof/>
            <w:webHidden/>
          </w:rPr>
          <w:fldChar w:fldCharType="end"/>
        </w:r>
      </w:hyperlink>
    </w:p>
    <w:p w14:paraId="31C5A554" w14:textId="24C8A335" w:rsidR="008B5D5D" w:rsidRDefault="004F6ED5">
      <w:pPr>
        <w:pStyle w:val="TOC3"/>
        <w:rPr>
          <w:rFonts w:eastAsiaTheme="minorEastAsia" w:cstheme="minorBidi"/>
          <w:i w:val="0"/>
          <w:iCs w:val="0"/>
          <w:noProof/>
          <w:sz w:val="22"/>
          <w:szCs w:val="22"/>
          <w:lang w:eastAsia="en-GB" w:bidi="ar-SA"/>
        </w:rPr>
      </w:pPr>
      <w:hyperlink w:anchor="_Toc26980517" w:history="1">
        <w:r w:rsidR="008B5D5D" w:rsidRPr="00365A4D">
          <w:rPr>
            <w:rStyle w:val="Hyperlink"/>
            <w:noProof/>
          </w:rPr>
          <w:t>5.1.3</w:t>
        </w:r>
        <w:r w:rsidR="008B5D5D">
          <w:rPr>
            <w:rFonts w:eastAsiaTheme="minorEastAsia" w:cstheme="minorBidi"/>
            <w:i w:val="0"/>
            <w:iCs w:val="0"/>
            <w:noProof/>
            <w:sz w:val="22"/>
            <w:szCs w:val="22"/>
            <w:lang w:eastAsia="en-GB" w:bidi="ar-SA"/>
          </w:rPr>
          <w:tab/>
        </w:r>
        <w:r w:rsidR="008B5D5D" w:rsidRPr="00365A4D">
          <w:rPr>
            <w:rStyle w:val="Hyperlink"/>
            <w:noProof/>
          </w:rPr>
          <w:t>Any relevant New Zealand standards</w:t>
        </w:r>
        <w:r w:rsidR="008B5D5D">
          <w:rPr>
            <w:noProof/>
            <w:webHidden/>
          </w:rPr>
          <w:tab/>
        </w:r>
        <w:r w:rsidR="008B5D5D">
          <w:rPr>
            <w:noProof/>
            <w:webHidden/>
          </w:rPr>
          <w:fldChar w:fldCharType="begin"/>
        </w:r>
        <w:r w:rsidR="008B5D5D">
          <w:rPr>
            <w:noProof/>
            <w:webHidden/>
          </w:rPr>
          <w:instrText xml:space="preserve"> PAGEREF _Toc26980517 \h </w:instrText>
        </w:r>
        <w:r w:rsidR="008B5D5D">
          <w:rPr>
            <w:noProof/>
            <w:webHidden/>
          </w:rPr>
        </w:r>
        <w:r w:rsidR="008B5D5D">
          <w:rPr>
            <w:noProof/>
            <w:webHidden/>
          </w:rPr>
          <w:fldChar w:fldCharType="separate"/>
        </w:r>
        <w:r w:rsidR="00142BD4">
          <w:rPr>
            <w:noProof/>
            <w:webHidden/>
          </w:rPr>
          <w:t>15</w:t>
        </w:r>
        <w:r w:rsidR="008B5D5D">
          <w:rPr>
            <w:noProof/>
            <w:webHidden/>
          </w:rPr>
          <w:fldChar w:fldCharType="end"/>
        </w:r>
      </w:hyperlink>
    </w:p>
    <w:p w14:paraId="066448C8" w14:textId="4CFD811B" w:rsidR="008B5D5D" w:rsidRDefault="004F6ED5">
      <w:pPr>
        <w:pStyle w:val="TOC3"/>
        <w:rPr>
          <w:rFonts w:eastAsiaTheme="minorEastAsia" w:cstheme="minorBidi"/>
          <w:i w:val="0"/>
          <w:iCs w:val="0"/>
          <w:noProof/>
          <w:sz w:val="22"/>
          <w:szCs w:val="22"/>
          <w:lang w:eastAsia="en-GB" w:bidi="ar-SA"/>
        </w:rPr>
      </w:pPr>
      <w:hyperlink w:anchor="_Toc26980518" w:history="1">
        <w:r w:rsidR="008B5D5D" w:rsidRPr="00365A4D">
          <w:rPr>
            <w:rStyle w:val="Hyperlink"/>
            <w:noProof/>
          </w:rPr>
          <w:t>5.1.4</w:t>
        </w:r>
        <w:r w:rsidR="008B5D5D">
          <w:rPr>
            <w:rFonts w:eastAsiaTheme="minorEastAsia" w:cstheme="minorBidi"/>
            <w:i w:val="0"/>
            <w:iCs w:val="0"/>
            <w:noProof/>
            <w:sz w:val="22"/>
            <w:szCs w:val="22"/>
            <w:lang w:eastAsia="en-GB" w:bidi="ar-SA"/>
          </w:rPr>
          <w:tab/>
        </w:r>
        <w:r w:rsidR="008B5D5D" w:rsidRPr="00365A4D">
          <w:rPr>
            <w:rStyle w:val="Hyperlink"/>
            <w:noProof/>
          </w:rPr>
          <w:t>Any other relevant matters</w:t>
        </w:r>
        <w:r w:rsidR="008B5D5D">
          <w:rPr>
            <w:noProof/>
            <w:webHidden/>
          </w:rPr>
          <w:tab/>
        </w:r>
        <w:r w:rsidR="008B5D5D">
          <w:rPr>
            <w:noProof/>
            <w:webHidden/>
          </w:rPr>
          <w:fldChar w:fldCharType="begin"/>
        </w:r>
        <w:r w:rsidR="008B5D5D">
          <w:rPr>
            <w:noProof/>
            <w:webHidden/>
          </w:rPr>
          <w:instrText xml:space="preserve"> PAGEREF _Toc26980518 \h </w:instrText>
        </w:r>
        <w:r w:rsidR="008B5D5D">
          <w:rPr>
            <w:noProof/>
            <w:webHidden/>
          </w:rPr>
        </w:r>
        <w:r w:rsidR="008B5D5D">
          <w:rPr>
            <w:noProof/>
            <w:webHidden/>
          </w:rPr>
          <w:fldChar w:fldCharType="separate"/>
        </w:r>
        <w:r w:rsidR="00142BD4">
          <w:rPr>
            <w:noProof/>
            <w:webHidden/>
          </w:rPr>
          <w:t>15</w:t>
        </w:r>
        <w:r w:rsidR="008B5D5D">
          <w:rPr>
            <w:noProof/>
            <w:webHidden/>
          </w:rPr>
          <w:fldChar w:fldCharType="end"/>
        </w:r>
      </w:hyperlink>
    </w:p>
    <w:p w14:paraId="5048DC26" w14:textId="365AAF32"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19" w:history="1">
        <w:r w:rsidR="008B5D5D" w:rsidRPr="00365A4D">
          <w:rPr>
            <w:rStyle w:val="Hyperlink"/>
            <w:noProof/>
          </w:rPr>
          <w:t>5.2</w:t>
        </w:r>
        <w:r w:rsidR="008B5D5D">
          <w:rPr>
            <w:rFonts w:eastAsiaTheme="minorEastAsia" w:cstheme="minorBidi"/>
            <w:smallCaps w:val="0"/>
            <w:noProof/>
            <w:sz w:val="22"/>
            <w:szCs w:val="22"/>
            <w:lang w:eastAsia="en-GB" w:bidi="ar-SA"/>
          </w:rPr>
          <w:tab/>
        </w:r>
        <w:r w:rsidR="008B5D5D" w:rsidRPr="00365A4D">
          <w:rPr>
            <w:rStyle w:val="Hyperlink"/>
            <w:noProof/>
          </w:rPr>
          <w:t>Subsection 18(1)</w:t>
        </w:r>
        <w:r w:rsidR="008B5D5D">
          <w:rPr>
            <w:noProof/>
            <w:webHidden/>
          </w:rPr>
          <w:tab/>
        </w:r>
        <w:r w:rsidR="008B5D5D">
          <w:rPr>
            <w:noProof/>
            <w:webHidden/>
          </w:rPr>
          <w:fldChar w:fldCharType="begin"/>
        </w:r>
        <w:r w:rsidR="008B5D5D">
          <w:rPr>
            <w:noProof/>
            <w:webHidden/>
          </w:rPr>
          <w:instrText xml:space="preserve"> PAGEREF _Toc26980519 \h </w:instrText>
        </w:r>
        <w:r w:rsidR="008B5D5D">
          <w:rPr>
            <w:noProof/>
            <w:webHidden/>
          </w:rPr>
        </w:r>
        <w:r w:rsidR="008B5D5D">
          <w:rPr>
            <w:noProof/>
            <w:webHidden/>
          </w:rPr>
          <w:fldChar w:fldCharType="separate"/>
        </w:r>
        <w:r w:rsidR="00142BD4">
          <w:rPr>
            <w:noProof/>
            <w:webHidden/>
          </w:rPr>
          <w:t>15</w:t>
        </w:r>
        <w:r w:rsidR="008B5D5D">
          <w:rPr>
            <w:noProof/>
            <w:webHidden/>
          </w:rPr>
          <w:fldChar w:fldCharType="end"/>
        </w:r>
      </w:hyperlink>
    </w:p>
    <w:p w14:paraId="16328030" w14:textId="2204708A" w:rsidR="008B5D5D" w:rsidRDefault="004F6ED5">
      <w:pPr>
        <w:pStyle w:val="TOC3"/>
        <w:rPr>
          <w:rFonts w:eastAsiaTheme="minorEastAsia" w:cstheme="minorBidi"/>
          <w:i w:val="0"/>
          <w:iCs w:val="0"/>
          <w:noProof/>
          <w:sz w:val="22"/>
          <w:szCs w:val="22"/>
          <w:lang w:eastAsia="en-GB" w:bidi="ar-SA"/>
        </w:rPr>
      </w:pPr>
      <w:hyperlink w:anchor="_Toc26980520" w:history="1">
        <w:r w:rsidR="008B5D5D" w:rsidRPr="00365A4D">
          <w:rPr>
            <w:rStyle w:val="Hyperlink"/>
            <w:noProof/>
          </w:rPr>
          <w:t>5.2.1</w:t>
        </w:r>
        <w:r w:rsidR="008B5D5D">
          <w:rPr>
            <w:rFonts w:eastAsiaTheme="minorEastAsia" w:cstheme="minorBidi"/>
            <w:i w:val="0"/>
            <w:iCs w:val="0"/>
            <w:noProof/>
            <w:sz w:val="22"/>
            <w:szCs w:val="22"/>
            <w:lang w:eastAsia="en-GB" w:bidi="ar-SA"/>
          </w:rPr>
          <w:tab/>
        </w:r>
        <w:r w:rsidR="008B5D5D" w:rsidRPr="00365A4D">
          <w:rPr>
            <w:rStyle w:val="Hyperlink"/>
            <w:noProof/>
          </w:rPr>
          <w:t>Protection of public health and safety</w:t>
        </w:r>
        <w:r w:rsidR="008B5D5D">
          <w:rPr>
            <w:noProof/>
            <w:webHidden/>
          </w:rPr>
          <w:tab/>
        </w:r>
        <w:r w:rsidR="008B5D5D">
          <w:rPr>
            <w:noProof/>
            <w:webHidden/>
          </w:rPr>
          <w:fldChar w:fldCharType="begin"/>
        </w:r>
        <w:r w:rsidR="008B5D5D">
          <w:rPr>
            <w:noProof/>
            <w:webHidden/>
          </w:rPr>
          <w:instrText xml:space="preserve"> PAGEREF _Toc26980520 \h </w:instrText>
        </w:r>
        <w:r w:rsidR="008B5D5D">
          <w:rPr>
            <w:noProof/>
            <w:webHidden/>
          </w:rPr>
        </w:r>
        <w:r w:rsidR="008B5D5D">
          <w:rPr>
            <w:noProof/>
            <w:webHidden/>
          </w:rPr>
          <w:fldChar w:fldCharType="separate"/>
        </w:r>
        <w:r w:rsidR="00142BD4">
          <w:rPr>
            <w:noProof/>
            <w:webHidden/>
          </w:rPr>
          <w:t>15</w:t>
        </w:r>
        <w:r w:rsidR="008B5D5D">
          <w:rPr>
            <w:noProof/>
            <w:webHidden/>
          </w:rPr>
          <w:fldChar w:fldCharType="end"/>
        </w:r>
      </w:hyperlink>
    </w:p>
    <w:p w14:paraId="2A6C77DF" w14:textId="497A9DB4" w:rsidR="008B5D5D" w:rsidRDefault="004F6ED5">
      <w:pPr>
        <w:pStyle w:val="TOC3"/>
        <w:rPr>
          <w:rFonts w:eastAsiaTheme="minorEastAsia" w:cstheme="minorBidi"/>
          <w:i w:val="0"/>
          <w:iCs w:val="0"/>
          <w:noProof/>
          <w:sz w:val="22"/>
          <w:szCs w:val="22"/>
          <w:lang w:eastAsia="en-GB" w:bidi="ar-SA"/>
        </w:rPr>
      </w:pPr>
      <w:hyperlink w:anchor="_Toc26980521" w:history="1">
        <w:r w:rsidR="008B5D5D" w:rsidRPr="00365A4D">
          <w:rPr>
            <w:rStyle w:val="Hyperlink"/>
            <w:noProof/>
          </w:rPr>
          <w:t>5.2.2</w:t>
        </w:r>
        <w:r w:rsidR="008B5D5D">
          <w:rPr>
            <w:rFonts w:eastAsiaTheme="minorEastAsia" w:cstheme="minorBidi"/>
            <w:i w:val="0"/>
            <w:iCs w:val="0"/>
            <w:noProof/>
            <w:sz w:val="22"/>
            <w:szCs w:val="22"/>
            <w:lang w:eastAsia="en-GB" w:bidi="ar-SA"/>
          </w:rPr>
          <w:tab/>
        </w:r>
        <w:r w:rsidR="008B5D5D" w:rsidRPr="00365A4D">
          <w:rPr>
            <w:rStyle w:val="Hyperlink"/>
            <w:noProof/>
          </w:rPr>
          <w:t>The provision of adequate information relating to food to enable consumers to make informed choices</w:t>
        </w:r>
        <w:r w:rsidR="008B5D5D">
          <w:rPr>
            <w:noProof/>
            <w:webHidden/>
          </w:rPr>
          <w:tab/>
        </w:r>
        <w:r w:rsidR="008B5D5D">
          <w:rPr>
            <w:noProof/>
            <w:webHidden/>
          </w:rPr>
          <w:fldChar w:fldCharType="begin"/>
        </w:r>
        <w:r w:rsidR="008B5D5D">
          <w:rPr>
            <w:noProof/>
            <w:webHidden/>
          </w:rPr>
          <w:instrText xml:space="preserve"> PAGEREF _Toc26980521 \h </w:instrText>
        </w:r>
        <w:r w:rsidR="008B5D5D">
          <w:rPr>
            <w:noProof/>
            <w:webHidden/>
          </w:rPr>
        </w:r>
        <w:r w:rsidR="008B5D5D">
          <w:rPr>
            <w:noProof/>
            <w:webHidden/>
          </w:rPr>
          <w:fldChar w:fldCharType="separate"/>
        </w:r>
        <w:r w:rsidR="00142BD4">
          <w:rPr>
            <w:noProof/>
            <w:webHidden/>
          </w:rPr>
          <w:t>15</w:t>
        </w:r>
        <w:r w:rsidR="008B5D5D">
          <w:rPr>
            <w:noProof/>
            <w:webHidden/>
          </w:rPr>
          <w:fldChar w:fldCharType="end"/>
        </w:r>
      </w:hyperlink>
    </w:p>
    <w:p w14:paraId="1E3F75F6" w14:textId="46B7F393" w:rsidR="008B5D5D" w:rsidRDefault="004F6ED5">
      <w:pPr>
        <w:pStyle w:val="TOC3"/>
        <w:rPr>
          <w:rFonts w:eastAsiaTheme="minorEastAsia" w:cstheme="minorBidi"/>
          <w:i w:val="0"/>
          <w:iCs w:val="0"/>
          <w:noProof/>
          <w:sz w:val="22"/>
          <w:szCs w:val="22"/>
          <w:lang w:eastAsia="en-GB" w:bidi="ar-SA"/>
        </w:rPr>
      </w:pPr>
      <w:hyperlink w:anchor="_Toc26980522" w:history="1">
        <w:r w:rsidR="008B5D5D" w:rsidRPr="00365A4D">
          <w:rPr>
            <w:rStyle w:val="Hyperlink"/>
            <w:noProof/>
          </w:rPr>
          <w:t>5.2.3</w:t>
        </w:r>
        <w:r w:rsidR="008B5D5D">
          <w:rPr>
            <w:rFonts w:eastAsiaTheme="minorEastAsia" w:cstheme="minorBidi"/>
            <w:i w:val="0"/>
            <w:iCs w:val="0"/>
            <w:noProof/>
            <w:sz w:val="22"/>
            <w:szCs w:val="22"/>
            <w:lang w:eastAsia="en-GB" w:bidi="ar-SA"/>
          </w:rPr>
          <w:tab/>
        </w:r>
        <w:r w:rsidR="008B5D5D" w:rsidRPr="00365A4D">
          <w:rPr>
            <w:rStyle w:val="Hyperlink"/>
            <w:noProof/>
          </w:rPr>
          <w:t>The prevention of misleading or deceptive conduct</w:t>
        </w:r>
        <w:r w:rsidR="008B5D5D">
          <w:rPr>
            <w:noProof/>
            <w:webHidden/>
          </w:rPr>
          <w:tab/>
        </w:r>
        <w:r w:rsidR="008B5D5D">
          <w:rPr>
            <w:noProof/>
            <w:webHidden/>
          </w:rPr>
          <w:fldChar w:fldCharType="begin"/>
        </w:r>
        <w:r w:rsidR="008B5D5D">
          <w:rPr>
            <w:noProof/>
            <w:webHidden/>
          </w:rPr>
          <w:instrText xml:space="preserve"> PAGEREF _Toc26980522 \h </w:instrText>
        </w:r>
        <w:r w:rsidR="008B5D5D">
          <w:rPr>
            <w:noProof/>
            <w:webHidden/>
          </w:rPr>
        </w:r>
        <w:r w:rsidR="008B5D5D">
          <w:rPr>
            <w:noProof/>
            <w:webHidden/>
          </w:rPr>
          <w:fldChar w:fldCharType="separate"/>
        </w:r>
        <w:r w:rsidR="00142BD4">
          <w:rPr>
            <w:noProof/>
            <w:webHidden/>
          </w:rPr>
          <w:t>15</w:t>
        </w:r>
        <w:r w:rsidR="008B5D5D">
          <w:rPr>
            <w:noProof/>
            <w:webHidden/>
          </w:rPr>
          <w:fldChar w:fldCharType="end"/>
        </w:r>
      </w:hyperlink>
    </w:p>
    <w:p w14:paraId="039D30F1" w14:textId="372F8D43" w:rsidR="008B5D5D" w:rsidRDefault="004F6ED5">
      <w:pPr>
        <w:pStyle w:val="TOC2"/>
        <w:tabs>
          <w:tab w:val="left" w:pos="880"/>
          <w:tab w:val="right" w:leader="dot" w:pos="9060"/>
        </w:tabs>
        <w:rPr>
          <w:rFonts w:eastAsiaTheme="minorEastAsia" w:cstheme="minorBidi"/>
          <w:smallCaps w:val="0"/>
          <w:noProof/>
          <w:sz w:val="22"/>
          <w:szCs w:val="22"/>
          <w:lang w:eastAsia="en-GB" w:bidi="ar-SA"/>
        </w:rPr>
      </w:pPr>
      <w:hyperlink w:anchor="_Toc26980523" w:history="1">
        <w:r w:rsidR="008B5D5D" w:rsidRPr="00365A4D">
          <w:rPr>
            <w:rStyle w:val="Hyperlink"/>
            <w:noProof/>
          </w:rPr>
          <w:t>5.3</w:t>
        </w:r>
        <w:r w:rsidR="008B5D5D">
          <w:rPr>
            <w:rFonts w:eastAsiaTheme="minorEastAsia" w:cstheme="minorBidi"/>
            <w:smallCaps w:val="0"/>
            <w:noProof/>
            <w:sz w:val="22"/>
            <w:szCs w:val="22"/>
            <w:lang w:eastAsia="en-GB" w:bidi="ar-SA"/>
          </w:rPr>
          <w:tab/>
        </w:r>
        <w:r w:rsidR="008B5D5D" w:rsidRPr="00365A4D">
          <w:rPr>
            <w:rStyle w:val="Hyperlink"/>
            <w:noProof/>
          </w:rPr>
          <w:t>Subsection 18(2) considerations</w:t>
        </w:r>
        <w:r w:rsidR="008B5D5D">
          <w:rPr>
            <w:noProof/>
            <w:webHidden/>
          </w:rPr>
          <w:tab/>
        </w:r>
        <w:r w:rsidR="008B5D5D">
          <w:rPr>
            <w:noProof/>
            <w:webHidden/>
          </w:rPr>
          <w:fldChar w:fldCharType="begin"/>
        </w:r>
        <w:r w:rsidR="008B5D5D">
          <w:rPr>
            <w:noProof/>
            <w:webHidden/>
          </w:rPr>
          <w:instrText xml:space="preserve"> PAGEREF _Toc26980523 \h </w:instrText>
        </w:r>
        <w:r w:rsidR="008B5D5D">
          <w:rPr>
            <w:noProof/>
            <w:webHidden/>
          </w:rPr>
        </w:r>
        <w:r w:rsidR="008B5D5D">
          <w:rPr>
            <w:noProof/>
            <w:webHidden/>
          </w:rPr>
          <w:fldChar w:fldCharType="separate"/>
        </w:r>
        <w:r w:rsidR="00142BD4">
          <w:rPr>
            <w:noProof/>
            <w:webHidden/>
          </w:rPr>
          <w:t>15</w:t>
        </w:r>
        <w:r w:rsidR="008B5D5D">
          <w:rPr>
            <w:noProof/>
            <w:webHidden/>
          </w:rPr>
          <w:fldChar w:fldCharType="end"/>
        </w:r>
      </w:hyperlink>
    </w:p>
    <w:p w14:paraId="406B4778" w14:textId="301FAF77" w:rsidR="008B5D5D" w:rsidRDefault="004F6E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26980524" w:history="1">
        <w:r w:rsidR="008B5D5D" w:rsidRPr="00365A4D">
          <w:rPr>
            <w:rStyle w:val="Hyperlink"/>
            <w:noProof/>
          </w:rPr>
          <w:t>6</w:t>
        </w:r>
        <w:r w:rsidR="008B5D5D">
          <w:rPr>
            <w:rFonts w:eastAsiaTheme="minorEastAsia" w:cstheme="minorBidi"/>
            <w:b w:val="0"/>
            <w:bCs w:val="0"/>
            <w:caps w:val="0"/>
            <w:noProof/>
            <w:sz w:val="22"/>
            <w:szCs w:val="22"/>
            <w:lang w:eastAsia="en-GB" w:bidi="ar-SA"/>
          </w:rPr>
          <w:tab/>
        </w:r>
        <w:r w:rsidR="008B5D5D" w:rsidRPr="00365A4D">
          <w:rPr>
            <w:rStyle w:val="Hyperlink"/>
            <w:noProof/>
          </w:rPr>
          <w:t>References</w:t>
        </w:r>
        <w:r w:rsidR="008B5D5D">
          <w:rPr>
            <w:noProof/>
            <w:webHidden/>
          </w:rPr>
          <w:tab/>
        </w:r>
        <w:r w:rsidR="008B5D5D">
          <w:rPr>
            <w:noProof/>
            <w:webHidden/>
          </w:rPr>
          <w:fldChar w:fldCharType="begin"/>
        </w:r>
        <w:r w:rsidR="008B5D5D">
          <w:rPr>
            <w:noProof/>
            <w:webHidden/>
          </w:rPr>
          <w:instrText xml:space="preserve"> PAGEREF _Toc26980524 \h </w:instrText>
        </w:r>
        <w:r w:rsidR="008B5D5D">
          <w:rPr>
            <w:noProof/>
            <w:webHidden/>
          </w:rPr>
        </w:r>
        <w:r w:rsidR="008B5D5D">
          <w:rPr>
            <w:noProof/>
            <w:webHidden/>
          </w:rPr>
          <w:fldChar w:fldCharType="separate"/>
        </w:r>
        <w:r w:rsidR="00142BD4">
          <w:rPr>
            <w:noProof/>
            <w:webHidden/>
          </w:rPr>
          <w:t>16</w:t>
        </w:r>
        <w:r w:rsidR="008B5D5D">
          <w:rPr>
            <w:noProof/>
            <w:webHidden/>
          </w:rPr>
          <w:fldChar w:fldCharType="end"/>
        </w:r>
      </w:hyperlink>
    </w:p>
    <w:p w14:paraId="15BC2E78" w14:textId="03CA02A9" w:rsidR="0037520F" w:rsidRPr="008844E4" w:rsidRDefault="00051ED9" w:rsidP="004C01F6">
      <w:pPr>
        <w:widowControl/>
        <w:rPr>
          <w:b/>
          <w:szCs w:val="22"/>
        </w:rPr>
      </w:pPr>
      <w:r w:rsidRPr="002C4A91">
        <w:rPr>
          <w:rFonts w:cs="Arial"/>
          <w:sz w:val="20"/>
          <w:szCs w:val="20"/>
        </w:rPr>
        <w:fldChar w:fldCharType="end"/>
      </w:r>
      <w:r w:rsidR="0037520F" w:rsidRPr="008844E4">
        <w:rPr>
          <w:b/>
          <w:szCs w:val="22"/>
        </w:rPr>
        <w:t>Supporting document</w:t>
      </w:r>
    </w:p>
    <w:p w14:paraId="6F4F6571" w14:textId="77777777" w:rsidR="0037520F" w:rsidRPr="0089264A" w:rsidRDefault="0037520F" w:rsidP="004C01F6">
      <w:pPr>
        <w:widowControl/>
        <w:rPr>
          <w:szCs w:val="22"/>
        </w:rPr>
      </w:pPr>
    </w:p>
    <w:p w14:paraId="53F39490" w14:textId="76445B8C" w:rsidR="0037520F" w:rsidRPr="001D02CB" w:rsidRDefault="0037520F" w:rsidP="004C01F6">
      <w:pPr>
        <w:widowControl/>
        <w:rPr>
          <w:szCs w:val="22"/>
        </w:rPr>
      </w:pPr>
      <w:r w:rsidRPr="001D02CB">
        <w:rPr>
          <w:szCs w:val="22"/>
        </w:rPr>
        <w:t xml:space="preserve">The </w:t>
      </w:r>
      <w:r w:rsidR="001D02CB" w:rsidRPr="001D02CB">
        <w:rPr>
          <w:szCs w:val="22"/>
        </w:rPr>
        <w:t>following document</w:t>
      </w:r>
      <w:r w:rsidRPr="001D02CB">
        <w:rPr>
          <w:szCs w:val="22"/>
        </w:rPr>
        <w:t xml:space="preserve"> </w:t>
      </w:r>
      <w:r w:rsidR="00681754" w:rsidRPr="001D02CB">
        <w:rPr>
          <w:szCs w:val="22"/>
        </w:rPr>
        <w:t xml:space="preserve">informed the assessment of this </w:t>
      </w:r>
      <w:r w:rsidR="001D02CB" w:rsidRPr="001D02CB">
        <w:rPr>
          <w:szCs w:val="22"/>
        </w:rPr>
        <w:t>Application and</w:t>
      </w:r>
      <w:r w:rsidRPr="001D02CB">
        <w:rPr>
          <w:szCs w:val="22"/>
        </w:rPr>
        <w:t xml:space="preserve"> are available on the FSANZ website</w:t>
      </w:r>
      <w:r w:rsidR="00820535" w:rsidRPr="001D02CB">
        <w:rPr>
          <w:szCs w:val="22"/>
        </w:rPr>
        <w:t>:</w:t>
      </w:r>
    </w:p>
    <w:p w14:paraId="42974389" w14:textId="77777777" w:rsidR="0089264A" w:rsidRPr="001D02CB" w:rsidRDefault="0089264A" w:rsidP="004C01F6">
      <w:pPr>
        <w:widowControl/>
        <w:rPr>
          <w:szCs w:val="22"/>
        </w:rPr>
      </w:pPr>
    </w:p>
    <w:p w14:paraId="5C7AAF21" w14:textId="688F02E0" w:rsidR="00051ED9" w:rsidRDefault="004F6ED5" w:rsidP="00A302BC">
      <w:pPr>
        <w:widowControl/>
        <w:ind w:left="1134" w:hanging="1134"/>
      </w:pPr>
      <w:hyperlink r:id="rId20" w:history="1">
        <w:r w:rsidR="0089264A" w:rsidRPr="0012485B">
          <w:rPr>
            <w:rStyle w:val="Hyperlink"/>
          </w:rPr>
          <w:t>SD1</w:t>
        </w:r>
        <w:r w:rsidR="0089264A" w:rsidRPr="0012485B">
          <w:rPr>
            <w:rStyle w:val="Hyperlink"/>
          </w:rPr>
          <w:tab/>
        </w:r>
        <w:r w:rsidR="00BA391F" w:rsidRPr="0012485B">
          <w:rPr>
            <w:rStyle w:val="Hyperlink"/>
          </w:rPr>
          <w:t>Risk</w:t>
        </w:r>
        <w:r w:rsidR="003110F9" w:rsidRPr="0012485B">
          <w:rPr>
            <w:rStyle w:val="Hyperlink"/>
          </w:rPr>
          <w:t xml:space="preserve"> </w:t>
        </w:r>
        <w:r w:rsidR="00D45C31" w:rsidRPr="0012485B">
          <w:rPr>
            <w:rStyle w:val="Hyperlink"/>
          </w:rPr>
          <w:t>and Technical Assessment Report</w:t>
        </w:r>
      </w:hyperlink>
    </w:p>
    <w:p w14:paraId="699D5D67" w14:textId="77777777" w:rsidR="00E063C6" w:rsidRDefault="00F33BB8" w:rsidP="004C01F6">
      <w:pPr>
        <w:pStyle w:val="Heading1"/>
        <w:keepNext w:val="0"/>
        <w:widowControl/>
      </w:pPr>
      <w:bookmarkStart w:id="3" w:name="_Toc286391001"/>
      <w:bookmarkStart w:id="4" w:name="_Toc300933414"/>
      <w:bookmarkStart w:id="5" w:name="_Toc26284636"/>
      <w:bookmarkStart w:id="6" w:name="_Toc26980487"/>
      <w:bookmarkStart w:id="7" w:name="_Toc11735627"/>
      <w:bookmarkStart w:id="8" w:name="_Toc29883110"/>
      <w:bookmarkStart w:id="9" w:name="_Toc41906797"/>
      <w:bookmarkStart w:id="10" w:name="_Toc41907544"/>
      <w:bookmarkStart w:id="11" w:name="_Toc120358575"/>
      <w:r>
        <w:lastRenderedPageBreak/>
        <w:t>E</w:t>
      </w:r>
      <w:r w:rsidR="0037520F">
        <w:t>xecutive s</w:t>
      </w:r>
      <w:r w:rsidR="00E063C6" w:rsidRPr="00E203C2">
        <w:t>ummary</w:t>
      </w:r>
      <w:bookmarkEnd w:id="3"/>
      <w:bookmarkEnd w:id="4"/>
      <w:bookmarkEnd w:id="5"/>
      <w:bookmarkEnd w:id="6"/>
    </w:p>
    <w:p w14:paraId="60D8899B" w14:textId="16155993" w:rsidR="002E5784" w:rsidRDefault="005A757F" w:rsidP="004C01F6">
      <w:pPr>
        <w:widowControl/>
      </w:pPr>
      <w:bookmarkStart w:id="12" w:name="_Toc286391003"/>
      <w:r>
        <w:t>Impossible Foods submitted an application to amend the Australia New Zealand Food Standards Code (the Code) to permit the use of soy leghemoglobin</w:t>
      </w:r>
      <w:r w:rsidR="000F4664">
        <w:rPr>
          <w:rStyle w:val="FootnoteReference"/>
        </w:rPr>
        <w:footnoteReference w:id="2"/>
      </w:r>
      <w:r>
        <w:t xml:space="preserve"> in </w:t>
      </w:r>
      <w:r w:rsidR="00E87008">
        <w:t>the form of LegH Prep</w:t>
      </w:r>
      <w:r w:rsidR="00E87008" w:rsidRPr="004517C5">
        <w:t xml:space="preserve"> </w:t>
      </w:r>
      <w:r>
        <w:t>in meat analogue products (including the Impossible™ Burger, meatballs</w:t>
      </w:r>
      <w:r w:rsidR="00CD1547">
        <w:t>,</w:t>
      </w:r>
      <w:r>
        <w:t xml:space="preserve"> sausages, </w:t>
      </w:r>
      <w:r w:rsidR="00A422FC">
        <w:t xml:space="preserve">and </w:t>
      </w:r>
      <w:r>
        <w:t>as fillings in buns and dumplings)</w:t>
      </w:r>
      <w:r w:rsidR="00794067">
        <w:t xml:space="preserve">. </w:t>
      </w:r>
      <w:r w:rsidR="002E5784">
        <w:t>The applicant intends to use soy leghemoglobin at levels not more than 0.8% weight for weight (w/w)</w:t>
      </w:r>
      <w:r w:rsidR="00E87008">
        <w:t xml:space="preserve"> in</w:t>
      </w:r>
      <w:r w:rsidR="002E5784">
        <w:t xml:space="preserve"> </w:t>
      </w:r>
      <w:r w:rsidR="00E87008">
        <w:t>raw product.</w:t>
      </w:r>
      <w:r w:rsidR="00E87008" w:rsidRPr="00E87008">
        <w:t xml:space="preserve"> </w:t>
      </w:r>
      <w:r w:rsidR="00E87008" w:rsidRPr="004517C5">
        <w:t>Th</w:t>
      </w:r>
      <w:r w:rsidR="00E87008">
        <w:t xml:space="preserve">is is intended to </w:t>
      </w:r>
      <w:r w:rsidR="00E87008" w:rsidRPr="00E2574F">
        <w:rPr>
          <w:color w:val="000000" w:themeColor="text1"/>
        </w:rPr>
        <w:t>replicate</w:t>
      </w:r>
      <w:r w:rsidR="00E87008" w:rsidRPr="004517C5">
        <w:t xml:space="preserve"> the nutrition (source of iron), flavour and aroma of myoglobin</w:t>
      </w:r>
      <w:r w:rsidR="00E87008" w:rsidRPr="00641F5D">
        <w:rPr>
          <w:color w:val="000000" w:themeColor="text1"/>
        </w:rPr>
        <w:t xml:space="preserve">, </w:t>
      </w:r>
      <w:r w:rsidR="00E87008">
        <w:rPr>
          <w:color w:val="000000" w:themeColor="text1"/>
        </w:rPr>
        <w:t>which is an oxygen storing</w:t>
      </w:r>
      <w:r w:rsidR="00E87008" w:rsidRPr="00641F5D">
        <w:rPr>
          <w:color w:val="000000" w:themeColor="text1"/>
        </w:rPr>
        <w:t xml:space="preserve"> </w:t>
      </w:r>
      <w:r w:rsidR="00E87008">
        <w:rPr>
          <w:color w:val="000000" w:themeColor="text1"/>
        </w:rPr>
        <w:t xml:space="preserve">haem protein </w:t>
      </w:r>
      <w:r w:rsidR="00E87008" w:rsidRPr="00641F5D">
        <w:rPr>
          <w:color w:val="000000" w:themeColor="text1"/>
        </w:rPr>
        <w:t xml:space="preserve">found in </w:t>
      </w:r>
      <w:r w:rsidR="00E87008">
        <w:rPr>
          <w:color w:val="000000" w:themeColor="text1"/>
        </w:rPr>
        <w:t>muscle tissue (Ordway and Garry, 2004)</w:t>
      </w:r>
    </w:p>
    <w:p w14:paraId="6EDF408C" w14:textId="77777777" w:rsidR="002E5784" w:rsidRDefault="002E5784" w:rsidP="004C01F6">
      <w:pPr>
        <w:widowControl/>
      </w:pPr>
    </w:p>
    <w:p w14:paraId="76D98E1A" w14:textId="306FA6AA" w:rsidR="005A757F" w:rsidRDefault="004E67E2" w:rsidP="004C01F6">
      <w:pPr>
        <w:widowControl/>
      </w:pPr>
      <w:r>
        <w:t xml:space="preserve">Soy leghemoglobin </w:t>
      </w:r>
      <w:r w:rsidRPr="004517C5">
        <w:t xml:space="preserve">is a </w:t>
      </w:r>
      <w:r>
        <w:t xml:space="preserve">component of a cell lysate preparation </w:t>
      </w:r>
      <w:r w:rsidRPr="004517C5">
        <w:t xml:space="preserve">from </w:t>
      </w:r>
      <w:r>
        <w:t xml:space="preserve">a </w:t>
      </w:r>
      <w:r w:rsidRPr="004517C5">
        <w:t xml:space="preserve">genetically modified (GM) </w:t>
      </w:r>
      <w:r w:rsidR="004D5B05" w:rsidRPr="007B2989">
        <w:t>yeast</w:t>
      </w:r>
      <w:r w:rsidR="004D5B05">
        <w:t xml:space="preserve">, </w:t>
      </w:r>
      <w:r w:rsidRPr="004517C5">
        <w:rPr>
          <w:i/>
        </w:rPr>
        <w:t>Pichia pastoris</w:t>
      </w:r>
      <w:r>
        <w:t xml:space="preserve">. </w:t>
      </w:r>
      <w:r w:rsidR="00A422FC">
        <w:t xml:space="preserve">This </w:t>
      </w:r>
      <w:r>
        <w:t>yeast has been modified to express</w:t>
      </w:r>
      <w:r w:rsidRPr="004517C5">
        <w:t xml:space="preserve"> the </w:t>
      </w:r>
      <w:r>
        <w:t>legh</w:t>
      </w:r>
      <w:r w:rsidR="009955D3">
        <w:t>a</w:t>
      </w:r>
      <w:r>
        <w:t>emoglobin</w:t>
      </w:r>
      <w:r w:rsidRPr="004517C5">
        <w:t xml:space="preserve"> gene from </w:t>
      </w:r>
      <w:r>
        <w:rPr>
          <w:lang w:eastAsia="en-AU" w:bidi="ar-SA"/>
        </w:rPr>
        <w:t>soybean</w:t>
      </w:r>
      <w:r w:rsidRPr="004517C5">
        <w:rPr>
          <w:i/>
        </w:rPr>
        <w:t xml:space="preserve"> (Glycine max</w:t>
      </w:r>
      <w:r w:rsidRPr="00017C6D">
        <w:t>)</w:t>
      </w:r>
      <w:r w:rsidRPr="006765A6">
        <w:t xml:space="preserve"> and other host proteins </w:t>
      </w:r>
      <w:r>
        <w:t xml:space="preserve">that support </w:t>
      </w:r>
      <w:r w:rsidR="003D2762">
        <w:t xml:space="preserve">its </w:t>
      </w:r>
      <w:r>
        <w:t>expression</w:t>
      </w:r>
      <w:r w:rsidRPr="004517C5">
        <w:t xml:space="preserve">. </w:t>
      </w:r>
      <w:r>
        <w:rPr>
          <w:lang w:eastAsia="en-AU" w:bidi="ar-SA"/>
        </w:rPr>
        <w:t>Legh</w:t>
      </w:r>
      <w:r w:rsidR="003D2762">
        <w:rPr>
          <w:lang w:eastAsia="en-AU" w:bidi="ar-SA"/>
        </w:rPr>
        <w:t>a</w:t>
      </w:r>
      <w:r>
        <w:rPr>
          <w:lang w:eastAsia="en-AU" w:bidi="ar-SA"/>
        </w:rPr>
        <w:t xml:space="preserve">emoglobin is a globulin protein, </w:t>
      </w:r>
      <w:r>
        <w:t>containing an iron-bound haem B prosthetic group</w:t>
      </w:r>
      <w:r>
        <w:rPr>
          <w:lang w:eastAsia="en-AU" w:bidi="ar-SA"/>
        </w:rPr>
        <w:t xml:space="preserve"> and is typically expressed in the root nodules of leguminous plants. </w:t>
      </w:r>
      <w:r w:rsidR="00A422FC">
        <w:rPr>
          <w:lang w:eastAsia="en-AU" w:bidi="ar-SA"/>
        </w:rPr>
        <w:t>S</w:t>
      </w:r>
      <w:r>
        <w:rPr>
          <w:lang w:eastAsia="en-AU" w:bidi="ar-SA"/>
        </w:rPr>
        <w:t>oy leghemoglobin</w:t>
      </w:r>
      <w:r w:rsidR="00A422FC">
        <w:rPr>
          <w:lang w:eastAsia="en-AU" w:bidi="ar-SA"/>
        </w:rPr>
        <w:t xml:space="preserve"> is distributed into the food matrix via a liquid</w:t>
      </w:r>
      <w:r w:rsidRPr="004517C5">
        <w:rPr>
          <w:lang w:eastAsia="en-AU" w:bidi="ar-SA"/>
        </w:rPr>
        <w:t xml:space="preserve"> preparation </w:t>
      </w:r>
      <w:r w:rsidR="00A422FC">
        <w:rPr>
          <w:lang w:eastAsia="en-AU" w:bidi="ar-SA"/>
        </w:rPr>
        <w:t xml:space="preserve">called </w:t>
      </w:r>
      <w:r w:rsidRPr="004517C5">
        <w:rPr>
          <w:lang w:eastAsia="en-AU" w:bidi="ar-SA"/>
        </w:rPr>
        <w:t xml:space="preserve">LegH </w:t>
      </w:r>
      <w:r>
        <w:rPr>
          <w:lang w:eastAsia="en-AU" w:bidi="ar-SA"/>
        </w:rPr>
        <w:t>P</w:t>
      </w:r>
      <w:r w:rsidRPr="004517C5">
        <w:rPr>
          <w:lang w:eastAsia="en-AU" w:bidi="ar-SA"/>
        </w:rPr>
        <w:t>rep</w:t>
      </w:r>
      <w:r w:rsidR="00A422FC">
        <w:rPr>
          <w:lang w:eastAsia="en-AU" w:bidi="ar-SA"/>
        </w:rPr>
        <w:t>, which</w:t>
      </w:r>
      <w:r w:rsidRPr="004517C5">
        <w:rPr>
          <w:lang w:eastAsia="en-AU" w:bidi="ar-SA"/>
        </w:rPr>
        <w:t xml:space="preserve"> also contain</w:t>
      </w:r>
      <w:r>
        <w:rPr>
          <w:lang w:eastAsia="en-AU" w:bidi="ar-SA"/>
        </w:rPr>
        <w:t>s</w:t>
      </w:r>
      <w:r w:rsidRPr="004517C5">
        <w:rPr>
          <w:lang w:eastAsia="en-AU" w:bidi="ar-SA"/>
        </w:rPr>
        <w:t xml:space="preserve"> proteins </w:t>
      </w:r>
      <w:r>
        <w:rPr>
          <w:lang w:eastAsia="en-AU" w:bidi="ar-SA"/>
        </w:rPr>
        <w:t xml:space="preserve">and genomic DNA </w:t>
      </w:r>
      <w:r w:rsidRPr="004517C5">
        <w:rPr>
          <w:lang w:eastAsia="en-AU" w:bidi="ar-SA"/>
        </w:rPr>
        <w:t xml:space="preserve">from the </w:t>
      </w:r>
      <w:r w:rsidRPr="004517C5">
        <w:rPr>
          <w:i/>
          <w:lang w:eastAsia="en-AU" w:bidi="ar-SA"/>
        </w:rPr>
        <w:t>Pichia</w:t>
      </w:r>
      <w:r w:rsidRPr="004517C5">
        <w:rPr>
          <w:lang w:eastAsia="en-AU" w:bidi="ar-SA"/>
        </w:rPr>
        <w:t xml:space="preserve"> production strain</w:t>
      </w:r>
      <w:r w:rsidR="00CD1547">
        <w:rPr>
          <w:lang w:val="en-AU"/>
        </w:rPr>
        <w:t xml:space="preserve"> and </w:t>
      </w:r>
      <w:r w:rsidR="0003788C">
        <w:rPr>
          <w:lang w:val="en-AU"/>
        </w:rPr>
        <w:t xml:space="preserve">has </w:t>
      </w:r>
      <w:r w:rsidR="0003788C" w:rsidRPr="00204C4D">
        <w:rPr>
          <w:lang w:val="en-AU"/>
        </w:rPr>
        <w:t>sodium ascorbate and sodium chloride</w:t>
      </w:r>
      <w:r w:rsidR="0003788C">
        <w:rPr>
          <w:lang w:val="en-AU"/>
        </w:rPr>
        <w:t xml:space="preserve"> </w:t>
      </w:r>
      <w:r w:rsidR="00CD1547">
        <w:rPr>
          <w:lang w:val="en-AU"/>
        </w:rPr>
        <w:t xml:space="preserve">added </w:t>
      </w:r>
      <w:r w:rsidR="0003788C">
        <w:rPr>
          <w:lang w:val="en-AU"/>
        </w:rPr>
        <w:t xml:space="preserve">as </w:t>
      </w:r>
      <w:r w:rsidR="00CD1547">
        <w:rPr>
          <w:lang w:val="en-AU"/>
        </w:rPr>
        <w:t>stabilisers</w:t>
      </w:r>
      <w:r w:rsidR="00794067">
        <w:t>.</w:t>
      </w:r>
    </w:p>
    <w:p w14:paraId="43F8240C" w14:textId="77777777" w:rsidR="0022271E" w:rsidRDefault="0022271E" w:rsidP="004C01F6">
      <w:pPr>
        <w:widowControl/>
      </w:pPr>
    </w:p>
    <w:p w14:paraId="745ADAF9" w14:textId="05050834" w:rsidR="00E87008" w:rsidRDefault="004035B9" w:rsidP="004C01F6">
      <w:pPr>
        <w:widowControl/>
        <w:rPr>
          <w:lang w:val="en-AU"/>
        </w:rPr>
      </w:pPr>
      <w:r>
        <w:t xml:space="preserve">The </w:t>
      </w:r>
      <w:r w:rsidR="00692837">
        <w:t>applicant</w:t>
      </w:r>
      <w:r>
        <w:t xml:space="preserve"> </w:t>
      </w:r>
      <w:r w:rsidR="00851346">
        <w:rPr>
          <w:lang w:val="en-AU"/>
        </w:rPr>
        <w:t xml:space="preserve">currently manufactures </w:t>
      </w:r>
      <w:r w:rsidR="002E5784">
        <w:rPr>
          <w:lang w:val="en-AU"/>
        </w:rPr>
        <w:t xml:space="preserve">soy leghemoglobin in the form of </w:t>
      </w:r>
      <w:r w:rsidR="00851346">
        <w:rPr>
          <w:lang w:val="en-AU"/>
        </w:rPr>
        <w:t>LegH Prep</w:t>
      </w:r>
      <w:r w:rsidR="00543B4F">
        <w:rPr>
          <w:lang w:val="en-AU"/>
        </w:rPr>
        <w:t xml:space="preserve"> for</w:t>
      </w:r>
      <w:r w:rsidR="00851346">
        <w:rPr>
          <w:lang w:val="en-AU"/>
        </w:rPr>
        <w:t xml:space="preserve"> their meat analogue</w:t>
      </w:r>
      <w:r w:rsidR="00851346" w:rsidRPr="006C443F">
        <w:rPr>
          <w:lang w:val="en-AU"/>
        </w:rPr>
        <w:t xml:space="preserve"> products </w:t>
      </w:r>
      <w:r w:rsidR="00851346" w:rsidRPr="00155A0E">
        <w:rPr>
          <w:lang w:val="en-AU"/>
        </w:rPr>
        <w:t xml:space="preserve">in the United </w:t>
      </w:r>
      <w:r w:rsidR="00851346">
        <w:rPr>
          <w:lang w:val="en-AU"/>
        </w:rPr>
        <w:t>States</w:t>
      </w:r>
      <w:r w:rsidR="00B953DA">
        <w:rPr>
          <w:lang w:val="en-AU"/>
        </w:rPr>
        <w:t xml:space="preserve"> (US)</w:t>
      </w:r>
      <w:r w:rsidR="00E87008">
        <w:rPr>
          <w:lang w:val="en-AU"/>
        </w:rPr>
        <w:t xml:space="preserve"> and intends to </w:t>
      </w:r>
      <w:r w:rsidR="00851346">
        <w:rPr>
          <w:lang w:val="en-AU"/>
        </w:rPr>
        <w:t xml:space="preserve">import </w:t>
      </w:r>
      <w:r w:rsidR="00E87008">
        <w:rPr>
          <w:lang w:val="en-AU"/>
        </w:rPr>
        <w:t>these products</w:t>
      </w:r>
      <w:r w:rsidR="00851346">
        <w:rPr>
          <w:lang w:val="en-AU"/>
        </w:rPr>
        <w:t xml:space="preserve"> </w:t>
      </w:r>
      <w:r w:rsidR="008732E9">
        <w:rPr>
          <w:lang w:val="en-AU"/>
        </w:rPr>
        <w:t xml:space="preserve">into Australia and New Zealand </w:t>
      </w:r>
      <w:r w:rsidR="00851346">
        <w:rPr>
          <w:lang w:val="en-AU"/>
        </w:rPr>
        <w:t xml:space="preserve">as </w:t>
      </w:r>
      <w:r w:rsidR="002E5784">
        <w:rPr>
          <w:lang w:val="en-AU"/>
        </w:rPr>
        <w:t xml:space="preserve">raw, </w:t>
      </w:r>
      <w:r w:rsidR="00851346">
        <w:rPr>
          <w:lang w:val="en-AU"/>
        </w:rPr>
        <w:t>frozen, packaged products. The</w:t>
      </w:r>
      <w:r w:rsidR="008732E9">
        <w:rPr>
          <w:lang w:val="en-AU"/>
        </w:rPr>
        <w:t>se</w:t>
      </w:r>
      <w:r w:rsidR="00851346">
        <w:rPr>
          <w:lang w:val="en-AU"/>
        </w:rPr>
        <w:t xml:space="preserve"> products will be</w:t>
      </w:r>
      <w:r>
        <w:t xml:space="preserve"> market</w:t>
      </w:r>
      <w:r w:rsidR="00851346">
        <w:t>ed</w:t>
      </w:r>
      <w:r>
        <w:t xml:space="preserve"> to retailers (such as grocery stores) and caterers (such as </w:t>
      </w:r>
      <w:r w:rsidR="008732E9">
        <w:t xml:space="preserve">fast food </w:t>
      </w:r>
      <w:r>
        <w:t xml:space="preserve">restaurants) for final sale </w:t>
      </w:r>
      <w:r w:rsidR="0097300E">
        <w:t xml:space="preserve">to </w:t>
      </w:r>
      <w:r>
        <w:t>the general pop</w:t>
      </w:r>
      <w:r w:rsidR="00B953DA">
        <w:t>ulation</w:t>
      </w:r>
      <w:r>
        <w:t>. LegH Prep</w:t>
      </w:r>
      <w:r w:rsidRPr="004517C5">
        <w:t xml:space="preserve"> </w:t>
      </w:r>
      <w:r w:rsidR="00851346">
        <w:t xml:space="preserve">itself </w:t>
      </w:r>
      <w:r w:rsidRPr="004517C5">
        <w:t>will not be sold in Australia or New Zealand</w:t>
      </w:r>
      <w:r w:rsidR="002E5784">
        <w:t>,</w:t>
      </w:r>
      <w:r w:rsidRPr="004517C5">
        <w:t xml:space="preserve"> </w:t>
      </w:r>
      <w:r w:rsidR="00851346">
        <w:t>but as</w:t>
      </w:r>
      <w:r w:rsidRPr="004517C5">
        <w:t xml:space="preserve"> an ingredient in</w:t>
      </w:r>
      <w:r w:rsidR="00851346">
        <w:t xml:space="preserve"> the </w:t>
      </w:r>
      <w:r w:rsidR="00692837">
        <w:t>applicant</w:t>
      </w:r>
      <w:r w:rsidR="00851346">
        <w:t>’s</w:t>
      </w:r>
      <w:r w:rsidRPr="004517C5">
        <w:t xml:space="preserve"> </w:t>
      </w:r>
      <w:r w:rsidR="008732E9">
        <w:t xml:space="preserve">raw form of </w:t>
      </w:r>
      <w:r w:rsidRPr="004517C5">
        <w:t>meat analogue products</w:t>
      </w:r>
      <w:r>
        <w:rPr>
          <w:lang w:val="en-AU"/>
        </w:rPr>
        <w:t>.</w:t>
      </w:r>
      <w:r w:rsidRPr="001A1F60">
        <w:rPr>
          <w:lang w:val="en-AU"/>
        </w:rPr>
        <w:t xml:space="preserve"> </w:t>
      </w:r>
    </w:p>
    <w:p w14:paraId="01380466" w14:textId="77777777" w:rsidR="00E87008" w:rsidRDefault="00E87008" w:rsidP="004C01F6">
      <w:pPr>
        <w:widowControl/>
        <w:rPr>
          <w:lang w:val="en-AU"/>
        </w:rPr>
      </w:pPr>
    </w:p>
    <w:p w14:paraId="289359BF" w14:textId="5BAC6F55" w:rsidR="004035B9" w:rsidRPr="003D00E1" w:rsidRDefault="004035B9" w:rsidP="004C01F6">
      <w:pPr>
        <w:widowControl/>
      </w:pPr>
      <w:r>
        <w:rPr>
          <w:lang w:val="en-AU"/>
        </w:rPr>
        <w:t xml:space="preserve">Meat analogue products containing LegH Prep are currently </w:t>
      </w:r>
      <w:r w:rsidR="008732E9">
        <w:rPr>
          <w:lang w:val="en-AU"/>
        </w:rPr>
        <w:t>regulated</w:t>
      </w:r>
      <w:r>
        <w:rPr>
          <w:lang w:val="en-AU"/>
        </w:rPr>
        <w:t xml:space="preserve"> </w:t>
      </w:r>
      <w:r w:rsidR="008732E9">
        <w:rPr>
          <w:lang w:val="en-AU"/>
        </w:rPr>
        <w:t xml:space="preserve">in the </w:t>
      </w:r>
      <w:r w:rsidR="00B953DA">
        <w:rPr>
          <w:lang w:val="en-AU"/>
        </w:rPr>
        <w:t>US</w:t>
      </w:r>
      <w:r w:rsidR="008732E9">
        <w:rPr>
          <w:lang w:val="en-AU"/>
        </w:rPr>
        <w:t xml:space="preserve"> </w:t>
      </w:r>
      <w:r>
        <w:rPr>
          <w:lang w:val="en-AU"/>
        </w:rPr>
        <w:t>for purchase in retail and catering outlets (up to 0.8% soy leghemoglobin</w:t>
      </w:r>
      <w:r w:rsidR="0097300E">
        <w:rPr>
          <w:lang w:val="en-AU"/>
        </w:rPr>
        <w:t xml:space="preserve"> (raw</w:t>
      </w:r>
      <w:r w:rsidR="002E5784">
        <w:rPr>
          <w:lang w:val="en-AU"/>
        </w:rPr>
        <w:t xml:space="preserve"> w/w</w:t>
      </w:r>
      <w:r w:rsidR="0097300E">
        <w:rPr>
          <w:lang w:val="en-AU"/>
        </w:rPr>
        <w:t>)</w:t>
      </w:r>
      <w:r w:rsidR="00A11629">
        <w:rPr>
          <w:lang w:val="en-AU"/>
        </w:rPr>
        <w:t xml:space="preserve">) </w:t>
      </w:r>
      <w:r>
        <w:rPr>
          <w:lang w:val="en-AU"/>
        </w:rPr>
        <w:t xml:space="preserve">and </w:t>
      </w:r>
      <w:r w:rsidR="00A11629">
        <w:rPr>
          <w:lang w:val="en-AU"/>
        </w:rPr>
        <w:t xml:space="preserve">in </w:t>
      </w:r>
      <w:r>
        <w:rPr>
          <w:lang w:val="en-AU"/>
        </w:rPr>
        <w:t>Singapore (</w:t>
      </w:r>
      <w:r w:rsidRPr="00D7775F">
        <w:rPr>
          <w:lang w:val="en-AU"/>
        </w:rPr>
        <w:t xml:space="preserve">up to 0.45% </w:t>
      </w:r>
      <w:r w:rsidR="000F4664">
        <w:rPr>
          <w:lang w:val="en-AU"/>
        </w:rPr>
        <w:t>soy leghemoglobin</w:t>
      </w:r>
      <w:r w:rsidR="002E5784">
        <w:rPr>
          <w:lang w:val="en-AU"/>
        </w:rPr>
        <w:t xml:space="preserve"> (raw w/w)</w:t>
      </w:r>
      <w:r w:rsidRPr="00D7775F">
        <w:rPr>
          <w:lang w:val="en-AU"/>
        </w:rPr>
        <w:t>).</w:t>
      </w:r>
      <w:r w:rsidR="00DB7993">
        <w:rPr>
          <w:lang w:val="en-AU"/>
        </w:rPr>
        <w:t xml:space="preserve"> Based on permissions in the US and Singapore, the Hong Kong Centre for Food Safety has subsequently permitted the import and sale of meat analogue products containing soy leghemoglobin in Hong Kong and Macao.</w:t>
      </w:r>
    </w:p>
    <w:p w14:paraId="2FF25768" w14:textId="02762F90" w:rsidR="00F55C7B" w:rsidRDefault="00F55C7B" w:rsidP="004C01F6">
      <w:pPr>
        <w:widowControl/>
      </w:pPr>
    </w:p>
    <w:p w14:paraId="0A9BCD88" w14:textId="38AE5177" w:rsidR="00646224" w:rsidRDefault="00E111EE" w:rsidP="00646224">
      <w:pPr>
        <w:widowControl/>
        <w:rPr>
          <w:color w:val="000000" w:themeColor="text1"/>
        </w:rPr>
      </w:pPr>
      <w:r w:rsidRPr="00C74AAA">
        <w:rPr>
          <w:color w:val="000000" w:themeColor="text1"/>
        </w:rPr>
        <w:t>FSANZ assess</w:t>
      </w:r>
      <w:r>
        <w:rPr>
          <w:color w:val="000000" w:themeColor="text1"/>
        </w:rPr>
        <w:t>ed</w:t>
      </w:r>
      <w:r w:rsidRPr="00C74AAA">
        <w:rPr>
          <w:color w:val="000000" w:themeColor="text1"/>
        </w:rPr>
        <w:t xml:space="preserve"> soy leghemoglobin as </w:t>
      </w:r>
      <w:r>
        <w:rPr>
          <w:color w:val="000000" w:themeColor="text1"/>
        </w:rPr>
        <w:t>a ‘</w:t>
      </w:r>
      <w:r w:rsidRPr="00C74AAA">
        <w:rPr>
          <w:color w:val="000000" w:themeColor="text1"/>
        </w:rPr>
        <w:t>food produced using gene technolo</w:t>
      </w:r>
      <w:r>
        <w:rPr>
          <w:color w:val="000000" w:themeColor="text1"/>
        </w:rPr>
        <w:t xml:space="preserve">gy’ rather than </w:t>
      </w:r>
      <w:r w:rsidRPr="00C74AAA">
        <w:rPr>
          <w:color w:val="000000" w:themeColor="text1"/>
        </w:rPr>
        <w:t xml:space="preserve">as a </w:t>
      </w:r>
      <w:r>
        <w:rPr>
          <w:color w:val="000000" w:themeColor="text1"/>
        </w:rPr>
        <w:t>‘</w:t>
      </w:r>
      <w:r w:rsidRPr="00C74AAA">
        <w:rPr>
          <w:color w:val="000000" w:themeColor="text1"/>
        </w:rPr>
        <w:t>novel food</w:t>
      </w:r>
      <w:r>
        <w:rPr>
          <w:color w:val="000000" w:themeColor="text1"/>
        </w:rPr>
        <w:t xml:space="preserve">’ (both categories require </w:t>
      </w:r>
      <w:r w:rsidRPr="00C74AAA">
        <w:rPr>
          <w:color w:val="000000" w:themeColor="text1"/>
        </w:rPr>
        <w:t>assessment</w:t>
      </w:r>
      <w:r>
        <w:rPr>
          <w:color w:val="000000" w:themeColor="text1"/>
        </w:rPr>
        <w:t xml:space="preserve"> of similar data and information</w:t>
      </w:r>
      <w:r w:rsidRPr="00C74AAA">
        <w:rPr>
          <w:color w:val="000000" w:themeColor="text1"/>
        </w:rPr>
        <w:t>).</w:t>
      </w:r>
      <w:r w:rsidR="00FE796F">
        <w:t xml:space="preserve"> </w:t>
      </w:r>
      <w:r w:rsidR="007A0CB5">
        <w:t>S</w:t>
      </w:r>
      <w:r w:rsidR="00FE796F">
        <w:t xml:space="preserve">pecifications </w:t>
      </w:r>
      <w:r w:rsidR="00646224">
        <w:t>were</w:t>
      </w:r>
      <w:r w:rsidR="007A0CB5">
        <w:t xml:space="preserve"> provided</w:t>
      </w:r>
      <w:r w:rsidR="00FE796F">
        <w:t xml:space="preserve"> </w:t>
      </w:r>
      <w:r w:rsidR="00BB3680">
        <w:t>for the identity and purity of LegH Prep</w:t>
      </w:r>
      <w:r w:rsidR="00692837">
        <w:t>.</w:t>
      </w:r>
      <w:r w:rsidR="00646224" w:rsidRPr="00646224">
        <w:rPr>
          <w:color w:val="000000" w:themeColor="text1"/>
        </w:rPr>
        <w:t xml:space="preserve"> </w:t>
      </w:r>
      <w:r w:rsidR="00646224">
        <w:rPr>
          <w:color w:val="000000" w:themeColor="text1"/>
        </w:rPr>
        <w:t xml:space="preserve">The applicant provided data and information to allow FSANZ to assess soy leghemoglobin as a permitted form of iron. </w:t>
      </w:r>
    </w:p>
    <w:p w14:paraId="08D011D6" w14:textId="4F6AAE5A" w:rsidR="00646224" w:rsidRDefault="00646224" w:rsidP="004C01F6">
      <w:pPr>
        <w:widowControl/>
        <w:rPr>
          <w:color w:val="000000" w:themeColor="text1"/>
        </w:rPr>
      </w:pPr>
    </w:p>
    <w:p w14:paraId="5F6A3870" w14:textId="6641B2DD" w:rsidR="00146B79" w:rsidRDefault="00F55C7B" w:rsidP="004C01F6">
      <w:pPr>
        <w:widowControl/>
        <w:ind w:firstLine="3"/>
        <w:rPr>
          <w:rFonts w:eastAsia="Calibri"/>
          <w:szCs w:val="22"/>
          <w:lang w:bidi="ar-SA"/>
        </w:rPr>
      </w:pPr>
      <w:r>
        <w:t>FSANZ</w:t>
      </w:r>
      <w:r w:rsidR="00A11629">
        <w:t>’</w:t>
      </w:r>
      <w:r>
        <w:t xml:space="preserve">s </w:t>
      </w:r>
      <w:r w:rsidR="008575DC">
        <w:t>risk</w:t>
      </w:r>
      <w:r>
        <w:t xml:space="preserve"> </w:t>
      </w:r>
      <w:r w:rsidR="007471F3">
        <w:t xml:space="preserve">and technical </w:t>
      </w:r>
      <w:r>
        <w:t xml:space="preserve">assessment </w:t>
      </w:r>
      <w:r w:rsidR="003B006B">
        <w:rPr>
          <w:rFonts w:eastAsia="Calibri"/>
          <w:szCs w:val="22"/>
          <w:lang w:bidi="ar-SA"/>
        </w:rPr>
        <w:t xml:space="preserve">(SD1) </w:t>
      </w:r>
      <w:r>
        <w:t>concluded that</w:t>
      </w:r>
      <w:r w:rsidR="003B006B">
        <w:t xml:space="preserve"> </w:t>
      </w:r>
      <w:r w:rsidR="003B006B">
        <w:rPr>
          <w:rFonts w:eastAsia="Calibri"/>
          <w:szCs w:val="22"/>
          <w:lang w:bidi="ar-SA"/>
        </w:rPr>
        <w:t>soy leghemoglobin</w:t>
      </w:r>
      <w:r w:rsidR="002008EE">
        <w:rPr>
          <w:rFonts w:eastAsia="Calibri"/>
          <w:szCs w:val="22"/>
          <w:lang w:bidi="ar-SA"/>
        </w:rPr>
        <w:t xml:space="preserve"> in the form of</w:t>
      </w:r>
      <w:r w:rsidR="003B006B">
        <w:rPr>
          <w:rFonts w:eastAsia="Calibri"/>
          <w:szCs w:val="22"/>
          <w:lang w:bidi="ar-SA"/>
        </w:rPr>
        <w:t xml:space="preserve"> LegH Prep </w:t>
      </w:r>
      <w:r w:rsidR="002008EE">
        <w:rPr>
          <w:rFonts w:eastAsia="Calibri"/>
          <w:szCs w:val="22"/>
          <w:lang w:bidi="ar-SA"/>
        </w:rPr>
        <w:t>is</w:t>
      </w:r>
      <w:r w:rsidR="003B006B" w:rsidRPr="00E74C15">
        <w:rPr>
          <w:rFonts w:eastAsia="Calibri"/>
          <w:szCs w:val="22"/>
          <w:lang w:bidi="ar-SA"/>
        </w:rPr>
        <w:t xml:space="preserve"> </w:t>
      </w:r>
      <w:r w:rsidR="003B006B">
        <w:rPr>
          <w:rFonts w:eastAsia="Calibri"/>
          <w:szCs w:val="22"/>
          <w:lang w:bidi="ar-SA"/>
        </w:rPr>
        <w:t>safe for human consumption</w:t>
      </w:r>
      <w:r w:rsidR="004035B9">
        <w:rPr>
          <w:rFonts w:eastAsia="Calibri"/>
          <w:szCs w:val="22"/>
          <w:lang w:bidi="ar-SA"/>
        </w:rPr>
        <w:t xml:space="preserve"> at levels up to 0.8% soy leghemoglobin</w:t>
      </w:r>
      <w:r w:rsidR="003B006B">
        <w:rPr>
          <w:rFonts w:eastAsia="Calibri"/>
          <w:szCs w:val="22"/>
          <w:lang w:bidi="ar-SA"/>
        </w:rPr>
        <w:t>.</w:t>
      </w:r>
      <w:r w:rsidR="00A462F5">
        <w:rPr>
          <w:rFonts w:eastAsia="Calibri"/>
          <w:szCs w:val="22"/>
          <w:lang w:bidi="ar-SA"/>
        </w:rPr>
        <w:t xml:space="preserve"> </w:t>
      </w:r>
      <w:r w:rsidR="00146B79">
        <w:t xml:space="preserve">The safety assessment of the source organism, </w:t>
      </w:r>
      <w:r w:rsidR="00146B79" w:rsidRPr="009955D3">
        <w:rPr>
          <w:i/>
        </w:rPr>
        <w:t>P. pastoris</w:t>
      </w:r>
      <w:r w:rsidR="00146B79">
        <w:t xml:space="preserve"> and novel proteins</w:t>
      </w:r>
      <w:r w:rsidR="008827E4">
        <w:t>,</w:t>
      </w:r>
      <w:r w:rsidR="00146B79">
        <w:t xml:space="preserve"> </w:t>
      </w:r>
      <w:r w:rsidR="00496A07">
        <w:t>did not identify</w:t>
      </w:r>
      <w:r w:rsidR="00146B79">
        <w:t xml:space="preserve"> </w:t>
      </w:r>
      <w:r w:rsidR="008F7C9D">
        <w:t xml:space="preserve">any </w:t>
      </w:r>
      <w:r w:rsidR="00146B79">
        <w:t>public health and safety concerns. The source organism is a well characterised yeast with a recognised safe history of use for the production of food enzymes</w:t>
      </w:r>
      <w:r w:rsidR="008F7C9D">
        <w:t>; i</w:t>
      </w:r>
      <w:r w:rsidR="00146B79">
        <w:t>t is neither pathogenic nor toxigenic. A</w:t>
      </w:r>
      <w:r w:rsidR="00146B79">
        <w:rPr>
          <w:lang w:eastAsia="en-AU" w:bidi="ar-SA"/>
        </w:rPr>
        <w:t>nalyses of the</w:t>
      </w:r>
      <w:r w:rsidR="00146B79" w:rsidRPr="00C15217">
        <w:rPr>
          <w:lang w:eastAsia="en-AU" w:bidi="ar-SA"/>
        </w:rPr>
        <w:t xml:space="preserve"> potential</w:t>
      </w:r>
      <w:r w:rsidR="00146B79">
        <w:rPr>
          <w:lang w:eastAsia="en-AU" w:bidi="ar-SA"/>
        </w:rPr>
        <w:t xml:space="preserve"> allergenicity or</w:t>
      </w:r>
      <w:r w:rsidR="00146B79" w:rsidRPr="00C15217">
        <w:rPr>
          <w:lang w:eastAsia="en-AU" w:bidi="ar-SA"/>
        </w:rPr>
        <w:t xml:space="preserve"> t</w:t>
      </w:r>
      <w:r w:rsidR="00146B79">
        <w:rPr>
          <w:lang w:eastAsia="en-AU" w:bidi="ar-SA"/>
        </w:rPr>
        <w:t xml:space="preserve">oxicity of all the novel proteins, including soy leghemoglobin and the </w:t>
      </w:r>
      <w:r w:rsidR="00146B79" w:rsidRPr="00F25F99">
        <w:rPr>
          <w:i/>
          <w:lang w:eastAsia="en-AU" w:bidi="ar-SA"/>
        </w:rPr>
        <w:t>Pichia</w:t>
      </w:r>
      <w:r w:rsidR="00146B79">
        <w:rPr>
          <w:lang w:eastAsia="en-AU" w:bidi="ar-SA"/>
        </w:rPr>
        <w:t xml:space="preserve"> proteins, did not identify any significant similarities to known allergens or toxins.</w:t>
      </w:r>
    </w:p>
    <w:p w14:paraId="2AC890DF" w14:textId="77777777" w:rsidR="00146B79" w:rsidRDefault="00146B79" w:rsidP="004C01F6">
      <w:pPr>
        <w:widowControl/>
        <w:ind w:firstLine="3"/>
        <w:rPr>
          <w:rFonts w:eastAsia="Calibri"/>
          <w:szCs w:val="22"/>
          <w:lang w:bidi="ar-SA"/>
        </w:rPr>
      </w:pPr>
    </w:p>
    <w:p w14:paraId="5E64DE1E" w14:textId="220AB53B" w:rsidR="00BB3680" w:rsidRDefault="008575DC" w:rsidP="004C01F6">
      <w:pPr>
        <w:widowControl/>
        <w:ind w:firstLine="3"/>
      </w:pPr>
      <w:r>
        <w:rPr>
          <w:rFonts w:eastAsia="Calibri"/>
          <w:szCs w:val="22"/>
          <w:lang w:bidi="ar-SA"/>
        </w:rPr>
        <w:t>It is FSANZ’s view that</w:t>
      </w:r>
      <w:r w:rsidR="002008EE">
        <w:rPr>
          <w:rFonts w:eastAsia="Calibri"/>
          <w:szCs w:val="22"/>
          <w:lang w:bidi="ar-SA"/>
        </w:rPr>
        <w:t xml:space="preserve"> the </w:t>
      </w:r>
      <w:r w:rsidR="00AB2000">
        <w:rPr>
          <w:color w:val="000000" w:themeColor="text1"/>
        </w:rPr>
        <w:t>applicant</w:t>
      </w:r>
      <w:r w:rsidR="00AB2000">
        <w:rPr>
          <w:rFonts w:eastAsia="Calibri"/>
          <w:szCs w:val="22"/>
          <w:lang w:bidi="ar-SA"/>
        </w:rPr>
        <w:t xml:space="preserve"> </w:t>
      </w:r>
      <w:r w:rsidR="002008EE">
        <w:rPr>
          <w:rFonts w:eastAsia="Calibri"/>
          <w:szCs w:val="22"/>
          <w:lang w:bidi="ar-SA"/>
        </w:rPr>
        <w:t xml:space="preserve">has provided sufficient data to support the stability of soy </w:t>
      </w:r>
      <w:r>
        <w:rPr>
          <w:rFonts w:eastAsia="Calibri"/>
          <w:szCs w:val="22"/>
          <w:lang w:bidi="ar-SA"/>
        </w:rPr>
        <w:t>leghemoglobin</w:t>
      </w:r>
      <w:r w:rsidR="002008EE">
        <w:rPr>
          <w:rFonts w:eastAsia="Calibri"/>
          <w:szCs w:val="22"/>
          <w:lang w:bidi="ar-SA"/>
        </w:rPr>
        <w:t xml:space="preserve"> in the food matrix.</w:t>
      </w:r>
      <w:r>
        <w:rPr>
          <w:rFonts w:eastAsia="Calibri"/>
          <w:szCs w:val="22"/>
          <w:lang w:bidi="ar-SA"/>
        </w:rPr>
        <w:t xml:space="preserve"> Based on a conservative dietary intake assessment that </w:t>
      </w:r>
      <w:r w:rsidR="00A462F5">
        <w:rPr>
          <w:rFonts w:eastAsia="Calibri"/>
          <w:szCs w:val="22"/>
          <w:lang w:bidi="ar-SA"/>
        </w:rPr>
        <w:t xml:space="preserve">is likely to have </w:t>
      </w:r>
      <w:r>
        <w:rPr>
          <w:rFonts w:eastAsia="Calibri"/>
          <w:szCs w:val="22"/>
          <w:lang w:bidi="ar-SA"/>
        </w:rPr>
        <w:t>overestimated dietary intakes for LegH Prep and iron, Australian and New Zealand consumers will not exceed the upper level of intake (UL) for iron</w:t>
      </w:r>
      <w:r w:rsidR="00377DC2">
        <w:rPr>
          <w:rFonts w:eastAsia="Calibri"/>
          <w:szCs w:val="22"/>
          <w:lang w:bidi="ar-SA"/>
        </w:rPr>
        <w:t>.</w:t>
      </w:r>
    </w:p>
    <w:p w14:paraId="01FFB48B" w14:textId="0D527DA3" w:rsidR="00C165C3" w:rsidRDefault="00C165C3" w:rsidP="008575DC">
      <w:pPr>
        <w:tabs>
          <w:tab w:val="left" w:pos="1139"/>
        </w:tabs>
      </w:pPr>
    </w:p>
    <w:p w14:paraId="237588DF" w14:textId="0E14407A" w:rsidR="00EA1C18" w:rsidRDefault="00EA1C18" w:rsidP="0066471E">
      <w:pPr>
        <w:widowControl/>
      </w:pPr>
      <w:r>
        <w:t>The purpose of this 1</w:t>
      </w:r>
      <w:r w:rsidRPr="005556A5">
        <w:rPr>
          <w:vertAlign w:val="superscript"/>
        </w:rPr>
        <w:t>st</w:t>
      </w:r>
      <w:r>
        <w:t xml:space="preserve"> Call for Submissions (CFS) is to </w:t>
      </w:r>
      <w:r w:rsidR="008F7C9D">
        <w:t xml:space="preserve">provide </w:t>
      </w:r>
      <w:r>
        <w:t xml:space="preserve">FSANZ’s safety and technical assessment, </w:t>
      </w:r>
      <w:r w:rsidR="008F7C9D">
        <w:t xml:space="preserve">and </w:t>
      </w:r>
      <w:r>
        <w:t>FSANZ’s preliminary position based on the assessment and request input from interested stakeholders</w:t>
      </w:r>
      <w:r w:rsidR="002E1328">
        <w:t xml:space="preserve">. Submissions received will inform FSANZ’s decision whether to prepare a draft variation to the Code to permit the use of </w:t>
      </w:r>
      <w:r w:rsidR="002E1328">
        <w:rPr>
          <w:rFonts w:eastAsia="Calibri"/>
          <w:szCs w:val="22"/>
          <w:lang w:bidi="ar-SA"/>
        </w:rPr>
        <w:t>soy leghemoglobin in food or to reject the application</w:t>
      </w:r>
      <w:r>
        <w:t xml:space="preserve">. </w:t>
      </w:r>
    </w:p>
    <w:p w14:paraId="48AD7AAA" w14:textId="5C0082F5" w:rsidR="00EA1C18" w:rsidRDefault="00EA1C18" w:rsidP="0066471E">
      <w:pPr>
        <w:widowControl/>
      </w:pPr>
    </w:p>
    <w:p w14:paraId="1AACDC9B" w14:textId="6A1961E9" w:rsidR="00EA1C18" w:rsidRDefault="002E1328" w:rsidP="0066471E">
      <w:pPr>
        <w:widowControl/>
      </w:pPr>
      <w:r>
        <w:t>F</w:t>
      </w:r>
      <w:r w:rsidR="00EA1C18">
        <w:t xml:space="preserve">urther public consultation </w:t>
      </w:r>
      <w:r>
        <w:t xml:space="preserve">will occur </w:t>
      </w:r>
      <w:r w:rsidR="00EA1C18">
        <w:t xml:space="preserve">if, </w:t>
      </w:r>
      <w:r>
        <w:t>after consideration of submissions received</w:t>
      </w:r>
      <w:r w:rsidR="00EA1C18">
        <w:t xml:space="preserve"> </w:t>
      </w:r>
      <w:r>
        <w:t>in response to</w:t>
      </w:r>
      <w:r w:rsidR="00EA1C18">
        <w:t xml:space="preserve"> this 1</w:t>
      </w:r>
      <w:r w:rsidR="00EA1C18" w:rsidRPr="00D61777">
        <w:rPr>
          <w:vertAlign w:val="superscript"/>
        </w:rPr>
        <w:t>st</w:t>
      </w:r>
      <w:r w:rsidR="00EA1C18">
        <w:t xml:space="preserve"> CFS, FSANZ decides to </w:t>
      </w:r>
      <w:r>
        <w:t>prepare a draft variation</w:t>
      </w:r>
      <w:r w:rsidR="00EA1C18">
        <w:t xml:space="preserve">. </w:t>
      </w:r>
    </w:p>
    <w:p w14:paraId="4BCDFD42" w14:textId="77777777" w:rsidR="00EA1C18" w:rsidRDefault="00EA1C18" w:rsidP="0066471E">
      <w:pPr>
        <w:widowControl/>
      </w:pPr>
    </w:p>
    <w:p w14:paraId="067DBA58" w14:textId="0C1B7F1C" w:rsidR="0066471E" w:rsidRDefault="002E1328" w:rsidP="0066471E">
      <w:pPr>
        <w:widowControl/>
      </w:pPr>
      <w:r>
        <w:t xml:space="preserve">Based on its assessment, </w:t>
      </w:r>
      <w:r w:rsidR="00EA1C18">
        <w:t>FSANZ’s preliminary position</w:t>
      </w:r>
      <w:r w:rsidR="0066471E">
        <w:t xml:space="preserve"> </w:t>
      </w:r>
      <w:r w:rsidR="00FB0105">
        <w:t xml:space="preserve">of </w:t>
      </w:r>
      <w:r w:rsidR="0066471E">
        <w:t xml:space="preserve">the </w:t>
      </w:r>
      <w:r>
        <w:t>preparation of a draft variation would appear warranted</w:t>
      </w:r>
      <w:r w:rsidR="00A23FE9">
        <w:t xml:space="preserve">. </w:t>
      </w:r>
      <w:r w:rsidR="00B30C9A">
        <w:rPr>
          <w:rFonts w:eastAsia="Calibri"/>
          <w:lang w:eastAsia="en-AU" w:bidi="ar-SA"/>
        </w:rPr>
        <w:t xml:space="preserve">Its assessment suggests that, if the use of soy leghemoglobin </w:t>
      </w:r>
      <w:r w:rsidR="00B30C9A">
        <w:rPr>
          <w:rFonts w:cs="Arial"/>
          <w:szCs w:val="22"/>
          <w:lang w:eastAsia="en-GB" w:bidi="ar-SA"/>
        </w:rPr>
        <w:t>in meat analogue products</w:t>
      </w:r>
      <w:r w:rsidR="00B30C9A">
        <w:rPr>
          <w:rFonts w:eastAsia="Calibri"/>
          <w:lang w:eastAsia="en-AU" w:bidi="ar-SA"/>
        </w:rPr>
        <w:t xml:space="preserve"> is to be permitted, the most appropriate permission would be</w:t>
      </w:r>
      <w:r w:rsidR="0066471E">
        <w:t>:</w:t>
      </w:r>
    </w:p>
    <w:p w14:paraId="206276CC" w14:textId="77777777" w:rsidR="0066471E" w:rsidRPr="006E56C1" w:rsidRDefault="0066471E" w:rsidP="0066471E">
      <w:pPr>
        <w:pStyle w:val="FSBullet1"/>
        <w:numPr>
          <w:ilvl w:val="0"/>
          <w:numId w:val="24"/>
        </w:numPr>
        <w:rPr>
          <w:rFonts w:ascii="Calibri" w:hAnsi="Calibri" w:cs="Calibri"/>
          <w:lang w:eastAsia="en-GB"/>
        </w:rPr>
      </w:pPr>
      <w:r>
        <w:rPr>
          <w:lang w:eastAsia="en-GB"/>
        </w:rPr>
        <w:t>a</w:t>
      </w:r>
      <w:r w:rsidRPr="005504BC">
        <w:rPr>
          <w:lang w:eastAsia="en-GB"/>
        </w:rPr>
        <w:t xml:space="preserve">s a </w:t>
      </w:r>
      <w:r w:rsidRPr="005504BC">
        <w:rPr>
          <w:i/>
          <w:iCs/>
          <w:lang w:eastAsia="en-GB"/>
        </w:rPr>
        <w:t xml:space="preserve">food produced using gene technology </w:t>
      </w:r>
      <w:r w:rsidRPr="005504BC">
        <w:rPr>
          <w:lang w:eastAsia="en-GB"/>
        </w:rPr>
        <w:t xml:space="preserve">derived specifically from </w:t>
      </w:r>
      <w:r>
        <w:rPr>
          <w:lang w:eastAsia="en-GB"/>
        </w:rPr>
        <w:t>the GM production strain</w:t>
      </w:r>
      <w:r w:rsidRPr="005504BC">
        <w:rPr>
          <w:lang w:eastAsia="en-GB"/>
        </w:rPr>
        <w:t xml:space="preserve"> </w:t>
      </w:r>
      <w:r w:rsidRPr="005504BC">
        <w:rPr>
          <w:i/>
          <w:iCs/>
          <w:lang w:eastAsia="en-GB"/>
        </w:rPr>
        <w:t>Pichia pastoris</w:t>
      </w:r>
      <w:r w:rsidRPr="006E56C1">
        <w:rPr>
          <w:iCs/>
          <w:lang w:eastAsia="en-GB"/>
        </w:rPr>
        <w:t xml:space="preserve"> </w:t>
      </w:r>
    </w:p>
    <w:p w14:paraId="7C7425C1" w14:textId="77777777" w:rsidR="0066471E" w:rsidRPr="006E56C1" w:rsidRDefault="0066471E" w:rsidP="0066471E">
      <w:pPr>
        <w:pStyle w:val="FSBullet1"/>
        <w:numPr>
          <w:ilvl w:val="0"/>
          <w:numId w:val="24"/>
        </w:numPr>
        <w:rPr>
          <w:rFonts w:ascii="Calibri" w:hAnsi="Calibri" w:cs="Calibri"/>
          <w:szCs w:val="22"/>
          <w:lang w:eastAsia="en-GB"/>
        </w:rPr>
      </w:pPr>
      <w:r>
        <w:rPr>
          <w:szCs w:val="22"/>
          <w:lang w:val="en-AU" w:eastAsia="en-GB"/>
        </w:rPr>
        <w:t xml:space="preserve">with </w:t>
      </w:r>
      <w:r w:rsidRPr="006E56C1">
        <w:rPr>
          <w:szCs w:val="22"/>
          <w:lang w:val="en-AU" w:eastAsia="en-GB"/>
        </w:rPr>
        <w:t xml:space="preserve">a maximum permitted use level </w:t>
      </w:r>
      <w:r>
        <w:rPr>
          <w:szCs w:val="22"/>
          <w:lang w:val="en-AU" w:eastAsia="en-GB"/>
        </w:rPr>
        <w:t>of</w:t>
      </w:r>
      <w:r w:rsidRPr="006E56C1">
        <w:rPr>
          <w:szCs w:val="22"/>
          <w:lang w:val="en-AU" w:eastAsia="en-GB"/>
        </w:rPr>
        <w:t xml:space="preserve"> 0.8% (w/w</w:t>
      </w:r>
      <w:r>
        <w:rPr>
          <w:szCs w:val="22"/>
          <w:lang w:val="en-AU" w:eastAsia="en-GB"/>
        </w:rPr>
        <w:t>) in raw product</w:t>
      </w:r>
      <w:r>
        <w:rPr>
          <w:iCs/>
          <w:szCs w:val="22"/>
          <w:lang w:eastAsia="en-GB"/>
        </w:rPr>
        <w:t xml:space="preserve"> </w:t>
      </w:r>
    </w:p>
    <w:p w14:paraId="0ED95F6B" w14:textId="77777777" w:rsidR="0066471E" w:rsidRPr="006E56C1" w:rsidRDefault="0066471E" w:rsidP="0066471E">
      <w:pPr>
        <w:pStyle w:val="FSBullet1"/>
        <w:numPr>
          <w:ilvl w:val="0"/>
          <w:numId w:val="24"/>
        </w:numPr>
        <w:rPr>
          <w:rFonts w:ascii="Calibri" w:hAnsi="Calibri" w:cs="Calibri"/>
          <w:szCs w:val="22"/>
          <w:lang w:eastAsia="en-GB"/>
        </w:rPr>
      </w:pPr>
      <w:r>
        <w:rPr>
          <w:iCs/>
          <w:szCs w:val="22"/>
          <w:lang w:eastAsia="en-GB"/>
        </w:rPr>
        <w:t xml:space="preserve">as a permitted form of iron </w:t>
      </w:r>
    </w:p>
    <w:p w14:paraId="192A54B3" w14:textId="77777777" w:rsidR="008911D9" w:rsidRPr="00EA1C18" w:rsidRDefault="0066471E" w:rsidP="00EA1C18">
      <w:pPr>
        <w:pStyle w:val="FSBullet1"/>
        <w:numPr>
          <w:ilvl w:val="0"/>
          <w:numId w:val="24"/>
        </w:numPr>
        <w:rPr>
          <w:szCs w:val="22"/>
          <w:lang w:eastAsia="en-GB"/>
        </w:rPr>
      </w:pPr>
      <w:r>
        <w:rPr>
          <w:szCs w:val="22"/>
          <w:lang w:eastAsia="en-GB"/>
        </w:rPr>
        <w:t>with</w:t>
      </w:r>
      <w:r w:rsidRPr="006E56C1">
        <w:rPr>
          <w:szCs w:val="22"/>
          <w:lang w:eastAsia="en-GB"/>
        </w:rPr>
        <w:t xml:space="preserve"> </w:t>
      </w:r>
      <w:r w:rsidRPr="006E56C1">
        <w:rPr>
          <w:i/>
          <w:szCs w:val="22"/>
          <w:lang w:eastAsia="en-GB"/>
        </w:rPr>
        <w:t xml:space="preserve">identity and purity </w:t>
      </w:r>
      <w:r w:rsidRPr="006E56C1">
        <w:rPr>
          <w:szCs w:val="22"/>
          <w:lang w:eastAsia="en-GB"/>
        </w:rPr>
        <w:t xml:space="preserve">specifications for LegH Prep. </w:t>
      </w:r>
    </w:p>
    <w:p w14:paraId="57F7D20B" w14:textId="0C837E09" w:rsidR="00FD1690" w:rsidRDefault="00FD1690" w:rsidP="008911D9">
      <w:pPr>
        <w:widowControl/>
        <w:textAlignment w:val="center"/>
      </w:pPr>
    </w:p>
    <w:p w14:paraId="436CB05E" w14:textId="642368F4" w:rsidR="0066471E" w:rsidRDefault="00A23FE9" w:rsidP="004C01F6">
      <w:pPr>
        <w:widowControl/>
        <w:rPr>
          <w:lang w:eastAsia="en-AU" w:bidi="ar-SA"/>
        </w:rPr>
      </w:pPr>
      <w:r>
        <w:rPr>
          <w:lang w:bidi="ar-SA"/>
        </w:rPr>
        <w:t>Any such</w:t>
      </w:r>
      <w:r w:rsidR="002008EE">
        <w:rPr>
          <w:lang w:bidi="ar-SA"/>
        </w:rPr>
        <w:t xml:space="preserve"> permission would be subject to </w:t>
      </w:r>
      <w:r>
        <w:rPr>
          <w:lang w:bidi="ar-SA"/>
        </w:rPr>
        <w:t xml:space="preserve">the Code’s </w:t>
      </w:r>
      <w:r w:rsidR="002008EE">
        <w:rPr>
          <w:lang w:bidi="ar-SA"/>
        </w:rPr>
        <w:t xml:space="preserve">existing labelling requirements </w:t>
      </w:r>
      <w:r>
        <w:rPr>
          <w:lang w:bidi="ar-SA"/>
        </w:rPr>
        <w:t xml:space="preserve">which would </w:t>
      </w:r>
      <w:r w:rsidR="002008EE">
        <w:rPr>
          <w:lang w:bidi="ar-SA"/>
        </w:rPr>
        <w:t xml:space="preserve">assist consumers in making informed decisions. </w:t>
      </w:r>
      <w:r w:rsidR="002008EE">
        <w:rPr>
          <w:lang w:eastAsia="en-AU" w:bidi="ar-SA"/>
        </w:rPr>
        <w:t xml:space="preserve">A food for sale that has a </w:t>
      </w:r>
      <w:r w:rsidR="00377DC2">
        <w:rPr>
          <w:lang w:eastAsia="en-AU" w:bidi="ar-SA"/>
        </w:rPr>
        <w:t>GM</w:t>
      </w:r>
      <w:r w:rsidR="002008EE">
        <w:rPr>
          <w:lang w:eastAsia="en-AU" w:bidi="ar-SA"/>
        </w:rPr>
        <w:t xml:space="preserve"> food ingredient </w:t>
      </w:r>
      <w:r w:rsidR="006A1D69">
        <w:rPr>
          <w:lang w:eastAsia="en-AU" w:bidi="ar-SA"/>
        </w:rPr>
        <w:t xml:space="preserve">would be labelled </w:t>
      </w:r>
      <w:r w:rsidR="002008EE">
        <w:rPr>
          <w:lang w:eastAsia="en-AU" w:bidi="ar-SA"/>
        </w:rPr>
        <w:t xml:space="preserve">‘genetically modified’ in conjunction with the ingredient name. </w:t>
      </w:r>
    </w:p>
    <w:p w14:paraId="757B2686" w14:textId="1F7BA6F5" w:rsidR="0066471E" w:rsidRDefault="00B617A7" w:rsidP="0066471E">
      <w:pPr>
        <w:widowControl/>
      </w:pPr>
      <w:r>
        <w:rPr>
          <w:lang w:eastAsia="en-AU"/>
        </w:rPr>
        <w:t>This does not apply to foods intended for immediate consumption (such as fast food), however this information should be available to the consumer upon request.</w:t>
      </w:r>
    </w:p>
    <w:p w14:paraId="2DFF656B" w14:textId="2F88E0CD" w:rsidR="0066471E" w:rsidRDefault="0066471E" w:rsidP="0066471E">
      <w:pPr>
        <w:widowControl/>
      </w:pPr>
    </w:p>
    <w:p w14:paraId="2658A968" w14:textId="39E28EC4" w:rsidR="0053464E" w:rsidRDefault="0066471E" w:rsidP="0066471E">
      <w:pPr>
        <w:widowControl/>
      </w:pPr>
      <w:r>
        <w:t xml:space="preserve"> </w:t>
      </w:r>
      <w:r w:rsidR="0053464E">
        <w:br w:type="page"/>
      </w:r>
    </w:p>
    <w:p w14:paraId="3267C1E4" w14:textId="77777777" w:rsidR="002A5F8B" w:rsidRPr="000B6AF2" w:rsidRDefault="00F33BB8" w:rsidP="004C01F6">
      <w:pPr>
        <w:pStyle w:val="Heading1"/>
        <w:keepNext w:val="0"/>
        <w:widowControl/>
      </w:pPr>
      <w:bookmarkStart w:id="13" w:name="_Toc300933417"/>
      <w:bookmarkStart w:id="14" w:name="_Toc26284637"/>
      <w:bookmarkStart w:id="15" w:name="_Toc26980488"/>
      <w:r>
        <w:t>1</w:t>
      </w:r>
      <w:r w:rsidR="001542D8">
        <w:tab/>
      </w:r>
      <w:r w:rsidR="002A5F8B" w:rsidRPr="000B6AF2">
        <w:t>Introduction</w:t>
      </w:r>
      <w:bookmarkEnd w:id="12"/>
      <w:bookmarkEnd w:id="13"/>
      <w:bookmarkEnd w:id="14"/>
      <w:bookmarkEnd w:id="15"/>
    </w:p>
    <w:p w14:paraId="518609C4" w14:textId="2CCA0418" w:rsidR="0053464E" w:rsidRDefault="00F33BB8" w:rsidP="004C01F6">
      <w:pPr>
        <w:pStyle w:val="Heading2"/>
        <w:keepNext w:val="0"/>
        <w:widowControl/>
      </w:pPr>
      <w:bookmarkStart w:id="16" w:name="_Toc300761890"/>
      <w:bookmarkStart w:id="17" w:name="_Toc300933419"/>
      <w:bookmarkStart w:id="18" w:name="_Toc26284638"/>
      <w:bookmarkStart w:id="19" w:name="_Toc26980489"/>
      <w:r>
        <w:t>1</w:t>
      </w:r>
      <w:r w:rsidR="0053464E" w:rsidRPr="0053464E">
        <w:t>.1</w:t>
      </w:r>
      <w:r w:rsidR="0053464E" w:rsidRPr="0053464E">
        <w:tab/>
        <w:t xml:space="preserve">The </w:t>
      </w:r>
      <w:r w:rsidR="00692837">
        <w:t>applicant</w:t>
      </w:r>
      <w:bookmarkEnd w:id="16"/>
      <w:bookmarkEnd w:id="17"/>
      <w:bookmarkEnd w:id="18"/>
      <w:bookmarkEnd w:id="19"/>
    </w:p>
    <w:p w14:paraId="6BFB7A47" w14:textId="07AE8264" w:rsidR="001D02CB" w:rsidRDefault="001D02CB" w:rsidP="004C01F6">
      <w:pPr>
        <w:widowControl/>
        <w:rPr>
          <w:b/>
          <w:bCs/>
          <w:lang w:val="en-AU"/>
        </w:rPr>
      </w:pPr>
      <w:bookmarkStart w:id="20" w:name="_Toc300761891"/>
      <w:bookmarkStart w:id="21" w:name="_Toc300933420"/>
      <w:r w:rsidRPr="001D02CB">
        <w:rPr>
          <w:lang w:val="en-AU"/>
        </w:rPr>
        <w:t xml:space="preserve">Impossible Foods Inc. (Impossible Foods) </w:t>
      </w:r>
      <w:r>
        <w:rPr>
          <w:lang w:val="en-AU"/>
        </w:rPr>
        <w:t xml:space="preserve">was </w:t>
      </w:r>
      <w:r w:rsidR="00051B53">
        <w:rPr>
          <w:lang w:val="en-AU"/>
        </w:rPr>
        <w:t>founded</w:t>
      </w:r>
      <w:r w:rsidRPr="001D02CB">
        <w:rPr>
          <w:lang w:val="en-AU"/>
        </w:rPr>
        <w:t xml:space="preserve"> in 2011 </w:t>
      </w:r>
      <w:r>
        <w:rPr>
          <w:lang w:val="en-AU"/>
        </w:rPr>
        <w:t xml:space="preserve">in </w:t>
      </w:r>
      <w:r w:rsidR="003531D4">
        <w:rPr>
          <w:lang w:val="en-AU"/>
        </w:rPr>
        <w:t xml:space="preserve">the </w:t>
      </w:r>
      <w:r w:rsidR="008B56C9">
        <w:rPr>
          <w:lang w:val="en-AU"/>
        </w:rPr>
        <w:t xml:space="preserve">United States (US) </w:t>
      </w:r>
      <w:r w:rsidRPr="001D02CB">
        <w:rPr>
          <w:lang w:val="en-AU"/>
        </w:rPr>
        <w:t>with the goal of producing sustainable plant-b</w:t>
      </w:r>
      <w:r>
        <w:rPr>
          <w:lang w:val="en-AU"/>
        </w:rPr>
        <w:t>ased alternatives to meat, fish and dairy foods.</w:t>
      </w:r>
      <w:r w:rsidRPr="001D02CB">
        <w:rPr>
          <w:lang w:val="en-AU"/>
        </w:rPr>
        <w:t xml:space="preserve"> The first product to be commercialised by the company was the Impossible™ Burger</w:t>
      </w:r>
      <w:r w:rsidR="00051B53">
        <w:rPr>
          <w:lang w:val="en-AU"/>
        </w:rPr>
        <w:t xml:space="preserve"> in 2016</w:t>
      </w:r>
      <w:r w:rsidR="00271F9C">
        <w:rPr>
          <w:lang w:val="en-AU"/>
        </w:rPr>
        <w:t xml:space="preserve">, </w:t>
      </w:r>
      <w:r w:rsidR="00AD4B11">
        <w:rPr>
          <w:lang w:val="en-AU"/>
        </w:rPr>
        <w:t xml:space="preserve">Impossible Foods </w:t>
      </w:r>
      <w:r w:rsidR="001160C1">
        <w:rPr>
          <w:lang w:val="en-AU"/>
        </w:rPr>
        <w:t xml:space="preserve">has </w:t>
      </w:r>
      <w:r w:rsidR="00271F9C">
        <w:rPr>
          <w:lang w:val="en-AU"/>
        </w:rPr>
        <w:t xml:space="preserve">sold </w:t>
      </w:r>
      <w:r w:rsidR="00AD4B11">
        <w:rPr>
          <w:lang w:val="en-AU"/>
        </w:rPr>
        <w:t xml:space="preserve">their products </w:t>
      </w:r>
      <w:r w:rsidR="00271F9C">
        <w:rPr>
          <w:lang w:val="en-AU"/>
        </w:rPr>
        <w:t xml:space="preserve">across the </w:t>
      </w:r>
      <w:r w:rsidR="001160C1">
        <w:rPr>
          <w:lang w:val="en-AU"/>
        </w:rPr>
        <w:t>US since then</w:t>
      </w:r>
      <w:r w:rsidR="00C30E77">
        <w:rPr>
          <w:lang w:val="en-AU"/>
        </w:rPr>
        <w:t xml:space="preserve">. </w:t>
      </w:r>
    </w:p>
    <w:p w14:paraId="6AD74803" w14:textId="3DA0F196" w:rsidR="0053464E" w:rsidRPr="0053464E" w:rsidRDefault="00F33BB8" w:rsidP="004C01F6">
      <w:pPr>
        <w:pStyle w:val="Heading2"/>
        <w:keepNext w:val="0"/>
        <w:widowControl/>
      </w:pPr>
      <w:bookmarkStart w:id="22" w:name="_Toc26284639"/>
      <w:bookmarkStart w:id="23" w:name="_Toc26980490"/>
      <w:r>
        <w:t>1</w:t>
      </w:r>
      <w:r w:rsidR="0053464E" w:rsidRPr="0053464E">
        <w:t>.2</w:t>
      </w:r>
      <w:r w:rsidR="0053464E" w:rsidRPr="0053464E">
        <w:tab/>
        <w:t xml:space="preserve">The </w:t>
      </w:r>
      <w:r w:rsidR="00582C15">
        <w:t>a</w:t>
      </w:r>
      <w:r w:rsidR="0053464E" w:rsidRPr="002F1995">
        <w:t>pplication</w:t>
      </w:r>
      <w:bookmarkEnd w:id="20"/>
      <w:bookmarkEnd w:id="21"/>
      <w:bookmarkEnd w:id="22"/>
      <w:bookmarkEnd w:id="23"/>
    </w:p>
    <w:p w14:paraId="5FF28B42" w14:textId="1230AB99" w:rsidR="0053464E" w:rsidRDefault="002A2A78" w:rsidP="004C01F6">
      <w:pPr>
        <w:widowControl/>
      </w:pPr>
      <w:r>
        <w:t xml:space="preserve">In August 2019, </w:t>
      </w:r>
      <w:r w:rsidR="003531D4">
        <w:t xml:space="preserve">Impossible Foods </w:t>
      </w:r>
      <w:r w:rsidR="001E679F">
        <w:t>applied</w:t>
      </w:r>
      <w:r w:rsidR="003531D4">
        <w:t xml:space="preserve"> to amend the Australia New Zealand Food Standards Code</w:t>
      </w:r>
      <w:r>
        <w:t xml:space="preserve"> (the Code)</w:t>
      </w:r>
      <w:r w:rsidR="003531D4">
        <w:t xml:space="preserve"> </w:t>
      </w:r>
      <w:r>
        <w:t xml:space="preserve">to permit the use of soy leghemoglobin, produced </w:t>
      </w:r>
      <w:r w:rsidR="00367416">
        <w:t>by</w:t>
      </w:r>
      <w:r>
        <w:t xml:space="preserve"> genetically modified</w:t>
      </w:r>
      <w:r w:rsidR="00C30E77">
        <w:t xml:space="preserve"> (GM)</w:t>
      </w:r>
      <w:r w:rsidR="008F7C9D">
        <w:t xml:space="preserve"> </w:t>
      </w:r>
      <w:r w:rsidR="008F7C9D" w:rsidRPr="007B2989">
        <w:t>yeast</w:t>
      </w:r>
      <w:r>
        <w:t xml:space="preserve"> </w:t>
      </w:r>
      <w:r w:rsidRPr="002A2A78">
        <w:rPr>
          <w:i/>
        </w:rPr>
        <w:t xml:space="preserve">Pichia </w:t>
      </w:r>
      <w:r>
        <w:rPr>
          <w:i/>
        </w:rPr>
        <w:t>p</w:t>
      </w:r>
      <w:r w:rsidRPr="002A2A78">
        <w:rPr>
          <w:i/>
        </w:rPr>
        <w:t>astoris</w:t>
      </w:r>
      <w:r w:rsidR="007777A9">
        <w:rPr>
          <w:i/>
        </w:rPr>
        <w:t xml:space="preserve"> (P. pastoris)</w:t>
      </w:r>
      <w:r>
        <w:t xml:space="preserve"> as a component in meat analogue products</w:t>
      </w:r>
      <w:r w:rsidR="00C30E77">
        <w:t xml:space="preserve"> (including the Impossible™ Burger, meatballs</w:t>
      </w:r>
      <w:r w:rsidR="007777A9">
        <w:t>,</w:t>
      </w:r>
      <w:r w:rsidR="00C30E77">
        <w:t xml:space="preserve"> sausages, </w:t>
      </w:r>
      <w:r w:rsidR="007777A9">
        <w:t xml:space="preserve">and </w:t>
      </w:r>
      <w:r w:rsidR="00C30E77">
        <w:t xml:space="preserve">as fillings in buns and dumplings). </w:t>
      </w:r>
      <w:r w:rsidR="00C1360C">
        <w:t>This yeast has been modified to express</w:t>
      </w:r>
      <w:r w:rsidR="00C1360C" w:rsidRPr="004517C5">
        <w:t xml:space="preserve"> the </w:t>
      </w:r>
      <w:r w:rsidR="00C1360C">
        <w:t>legh</w:t>
      </w:r>
      <w:r w:rsidR="009955D3">
        <w:t>a</w:t>
      </w:r>
      <w:r w:rsidR="00C1360C">
        <w:t>emoglobin</w:t>
      </w:r>
      <w:r w:rsidR="00C1360C" w:rsidRPr="004517C5">
        <w:t xml:space="preserve"> gene from </w:t>
      </w:r>
      <w:r w:rsidR="00C1360C">
        <w:rPr>
          <w:lang w:eastAsia="en-AU" w:bidi="ar-SA"/>
        </w:rPr>
        <w:t>soybean</w:t>
      </w:r>
      <w:r w:rsidR="00C1360C" w:rsidRPr="004517C5">
        <w:rPr>
          <w:i/>
        </w:rPr>
        <w:t xml:space="preserve"> (Glycine max</w:t>
      </w:r>
      <w:r w:rsidR="00C1360C" w:rsidRPr="00017C6D">
        <w:t>)</w:t>
      </w:r>
      <w:r w:rsidR="00C1360C" w:rsidRPr="006765A6">
        <w:t xml:space="preserve"> and other host proteins </w:t>
      </w:r>
      <w:r w:rsidR="00C1360C">
        <w:t>that support the expression of legh</w:t>
      </w:r>
      <w:r w:rsidR="009955D3">
        <w:t>a</w:t>
      </w:r>
      <w:r w:rsidR="00C1360C">
        <w:t>emoglobin</w:t>
      </w:r>
      <w:r w:rsidR="00C1360C" w:rsidRPr="004517C5">
        <w:t xml:space="preserve">. </w:t>
      </w:r>
      <w:r w:rsidR="00C1360C">
        <w:t xml:space="preserve">Products containing soy leghemoglobin </w:t>
      </w:r>
      <w:r w:rsidR="00C30E77">
        <w:t>are intended for consumption by the general population aged 2 years and older.</w:t>
      </w:r>
    </w:p>
    <w:p w14:paraId="3BF8A481" w14:textId="5FC68537" w:rsidR="00C30E77" w:rsidRDefault="00C30E77" w:rsidP="004C01F6">
      <w:pPr>
        <w:widowControl/>
      </w:pPr>
    </w:p>
    <w:p w14:paraId="66819FCC" w14:textId="20E302CA" w:rsidR="00CD64BE" w:rsidRDefault="00C30E77" w:rsidP="004C01F6">
      <w:pPr>
        <w:widowControl/>
        <w:rPr>
          <w:lang w:val="en-AU"/>
        </w:rPr>
      </w:pPr>
      <w:r>
        <w:t xml:space="preserve">Impossible Foods </w:t>
      </w:r>
      <w:r w:rsidR="00367416">
        <w:t xml:space="preserve">stated it </w:t>
      </w:r>
      <w:r w:rsidR="00367416">
        <w:rPr>
          <w:lang w:val="en-AU"/>
        </w:rPr>
        <w:t>produces</w:t>
      </w:r>
      <w:r w:rsidR="00367416" w:rsidRPr="001D02CB">
        <w:rPr>
          <w:lang w:val="en-AU"/>
        </w:rPr>
        <w:t xml:space="preserve"> </w:t>
      </w:r>
      <w:r w:rsidRPr="001D02CB">
        <w:rPr>
          <w:lang w:val="en-AU"/>
        </w:rPr>
        <w:t>soy leghemoglobin as a h</w:t>
      </w:r>
      <w:r>
        <w:rPr>
          <w:lang w:val="en-AU"/>
        </w:rPr>
        <w:t xml:space="preserve">aem-containing ingredient to </w:t>
      </w:r>
      <w:r w:rsidR="00582C15">
        <w:rPr>
          <w:lang w:val="en-AU"/>
        </w:rPr>
        <w:t>replicate</w:t>
      </w:r>
      <w:r w:rsidR="00661089">
        <w:rPr>
          <w:lang w:val="en-AU"/>
        </w:rPr>
        <w:t xml:space="preserve"> the</w:t>
      </w:r>
      <w:r>
        <w:rPr>
          <w:lang w:val="en-AU"/>
        </w:rPr>
        <w:t xml:space="preserve"> nutrition (source of </w:t>
      </w:r>
      <w:r w:rsidR="008D1982">
        <w:rPr>
          <w:lang w:val="en-AU"/>
        </w:rPr>
        <w:t>i</w:t>
      </w:r>
      <w:r>
        <w:rPr>
          <w:lang w:val="en-AU"/>
        </w:rPr>
        <w:t xml:space="preserve">ron), </w:t>
      </w:r>
      <w:r w:rsidR="00BC4A87">
        <w:rPr>
          <w:lang w:val="en-AU"/>
        </w:rPr>
        <w:t>flavour and aroma</w:t>
      </w:r>
      <w:r w:rsidR="00BC4A87" w:rsidRPr="001D02CB">
        <w:rPr>
          <w:lang w:val="en-AU"/>
        </w:rPr>
        <w:t xml:space="preserve"> </w:t>
      </w:r>
      <w:r w:rsidR="008D1982">
        <w:rPr>
          <w:lang w:val="en-AU"/>
        </w:rPr>
        <w:t>of myoglobin</w:t>
      </w:r>
      <w:r w:rsidR="00222C1A">
        <w:rPr>
          <w:lang w:val="en-AU"/>
        </w:rPr>
        <w:t>, a haem-containing protein</w:t>
      </w:r>
      <w:r w:rsidR="008D1982">
        <w:rPr>
          <w:lang w:val="en-AU"/>
        </w:rPr>
        <w:t xml:space="preserve"> </w:t>
      </w:r>
      <w:r w:rsidR="00BC4A87">
        <w:rPr>
          <w:lang w:val="en-AU"/>
        </w:rPr>
        <w:t xml:space="preserve">found in </w:t>
      </w:r>
      <w:r w:rsidR="00222C1A">
        <w:rPr>
          <w:lang w:val="en-AU"/>
        </w:rPr>
        <w:t>the muscle tissue of animals</w:t>
      </w:r>
      <w:r>
        <w:rPr>
          <w:lang w:val="en-AU"/>
        </w:rPr>
        <w:t xml:space="preserve">. </w:t>
      </w:r>
      <w:r w:rsidR="00661089">
        <w:t xml:space="preserve">Soy leghemoglobin is </w:t>
      </w:r>
      <w:r w:rsidR="001E679F">
        <w:t>added to the applicant’s</w:t>
      </w:r>
      <w:r w:rsidR="00661089">
        <w:t xml:space="preserve"> meat analogue products in </w:t>
      </w:r>
      <w:r w:rsidR="009C084A">
        <w:t xml:space="preserve">the form of </w:t>
      </w:r>
      <w:r w:rsidR="00661089">
        <w:t xml:space="preserve">LegH Prep, a liquid preparation containing </w:t>
      </w:r>
      <w:r w:rsidR="00661089" w:rsidRPr="00204C4D">
        <w:rPr>
          <w:lang w:val="en-AU"/>
        </w:rPr>
        <w:t>up to 9% soy leghemoglobin</w:t>
      </w:r>
      <w:r w:rsidR="00661089">
        <w:rPr>
          <w:lang w:val="en-AU"/>
        </w:rPr>
        <w:t xml:space="preserve"> </w:t>
      </w:r>
      <w:r w:rsidR="00C1360C">
        <w:rPr>
          <w:lang w:val="en-AU"/>
        </w:rPr>
        <w:t xml:space="preserve">with a </w:t>
      </w:r>
      <w:r w:rsidR="00661089" w:rsidRPr="00204C4D">
        <w:rPr>
          <w:lang w:val="en-AU"/>
        </w:rPr>
        <w:t>p</w:t>
      </w:r>
      <w:r w:rsidR="00661089">
        <w:rPr>
          <w:lang w:val="en-AU"/>
        </w:rPr>
        <w:t xml:space="preserve">rotein purity </w:t>
      </w:r>
      <w:r w:rsidR="00C1360C">
        <w:rPr>
          <w:lang w:val="en-AU"/>
        </w:rPr>
        <w:t xml:space="preserve">of </w:t>
      </w:r>
      <w:r w:rsidR="00661089">
        <w:rPr>
          <w:lang w:val="en-AU"/>
        </w:rPr>
        <w:t xml:space="preserve">at least 65%. Other substances in </w:t>
      </w:r>
      <w:r w:rsidR="00874C0D">
        <w:rPr>
          <w:lang w:val="en-AU"/>
        </w:rPr>
        <w:t>LegH Prep</w:t>
      </w:r>
      <w:r w:rsidR="00661089">
        <w:rPr>
          <w:lang w:val="en-AU"/>
        </w:rPr>
        <w:t xml:space="preserve"> </w:t>
      </w:r>
      <w:r w:rsidR="00F3779A">
        <w:rPr>
          <w:lang w:val="en-AU"/>
        </w:rPr>
        <w:t xml:space="preserve">will include </w:t>
      </w:r>
      <w:r w:rsidR="00661089" w:rsidRPr="00204C4D">
        <w:rPr>
          <w:lang w:val="en-AU"/>
        </w:rPr>
        <w:t xml:space="preserve">residual </w:t>
      </w:r>
      <w:r w:rsidR="00661089" w:rsidRPr="00204C4D">
        <w:rPr>
          <w:i/>
          <w:lang w:val="en-AU"/>
        </w:rPr>
        <w:t>P. pastoris</w:t>
      </w:r>
      <w:r w:rsidR="00661089" w:rsidRPr="00204C4D">
        <w:rPr>
          <w:lang w:val="en-AU"/>
        </w:rPr>
        <w:t xml:space="preserve"> </w:t>
      </w:r>
      <w:r w:rsidR="00F3779A">
        <w:rPr>
          <w:lang w:val="en-AU"/>
        </w:rPr>
        <w:t xml:space="preserve">cell components such as </w:t>
      </w:r>
      <w:r w:rsidR="00661089" w:rsidRPr="00204C4D">
        <w:rPr>
          <w:lang w:val="en-AU"/>
        </w:rPr>
        <w:t>proteins</w:t>
      </w:r>
      <w:r w:rsidR="00F3779A">
        <w:rPr>
          <w:lang w:val="en-AU"/>
        </w:rPr>
        <w:t xml:space="preserve"> and nucleic acids</w:t>
      </w:r>
      <w:r w:rsidR="00661089" w:rsidRPr="00204C4D">
        <w:rPr>
          <w:lang w:val="en-AU"/>
        </w:rPr>
        <w:t>, and added stabilisers (</w:t>
      </w:r>
      <w:r w:rsidR="00661089" w:rsidRPr="00BC4A87">
        <w:rPr>
          <w:lang w:val="en-AU"/>
        </w:rPr>
        <w:t>e.g</w:t>
      </w:r>
      <w:r w:rsidR="00661089" w:rsidRPr="00DF4749">
        <w:rPr>
          <w:lang w:val="en-AU"/>
        </w:rPr>
        <w:t>.</w:t>
      </w:r>
      <w:r w:rsidR="00661089" w:rsidRPr="00204C4D">
        <w:rPr>
          <w:lang w:val="en-AU"/>
        </w:rPr>
        <w:t xml:space="preserve"> sodium ascorbate and sodium chloride)</w:t>
      </w:r>
      <w:r>
        <w:t>.</w:t>
      </w:r>
    </w:p>
    <w:p w14:paraId="4B43AEB3" w14:textId="77777777" w:rsidR="00CD64BE" w:rsidRDefault="00CD64BE" w:rsidP="004C01F6">
      <w:pPr>
        <w:widowControl/>
        <w:rPr>
          <w:lang w:val="en-AU"/>
        </w:rPr>
      </w:pPr>
    </w:p>
    <w:p w14:paraId="7179FA73" w14:textId="0E3C1894" w:rsidR="00CD64BE" w:rsidRDefault="00C30E77" w:rsidP="004C01F6">
      <w:pPr>
        <w:widowControl/>
        <w:rPr>
          <w:lang w:val="en-AU"/>
        </w:rPr>
      </w:pPr>
      <w:r>
        <w:t xml:space="preserve">LegH Prep </w:t>
      </w:r>
      <w:r w:rsidR="009C084A">
        <w:t xml:space="preserve">itself </w:t>
      </w:r>
      <w:r>
        <w:t xml:space="preserve">will not be sold </w:t>
      </w:r>
      <w:r w:rsidR="00CD64BE">
        <w:t>to manufacturers or consumers, but as an ingredient in Impossible Food</w:t>
      </w:r>
      <w:r w:rsidR="002350DD">
        <w:t>’</w:t>
      </w:r>
      <w:r w:rsidR="00CD64BE">
        <w:t xml:space="preserve">s final meat analogue products </w:t>
      </w:r>
      <w:r w:rsidR="00CD64BE" w:rsidRPr="00204C4D">
        <w:rPr>
          <w:lang w:val="en-AU"/>
        </w:rPr>
        <w:t>at not more than 0.8%</w:t>
      </w:r>
      <w:r w:rsidR="00071983">
        <w:rPr>
          <w:lang w:val="en-AU"/>
        </w:rPr>
        <w:t xml:space="preserve"> </w:t>
      </w:r>
      <w:r w:rsidR="00582C15">
        <w:rPr>
          <w:lang w:val="en-AU"/>
        </w:rPr>
        <w:t>w/w</w:t>
      </w:r>
      <w:r w:rsidR="00CD64BE" w:rsidRPr="00204C4D">
        <w:rPr>
          <w:lang w:val="en-AU"/>
        </w:rPr>
        <w:t xml:space="preserve"> soy leghemoglobin</w:t>
      </w:r>
      <w:r w:rsidR="009C084A">
        <w:rPr>
          <w:lang w:val="en-AU"/>
        </w:rPr>
        <w:t xml:space="preserve"> in the raw product</w:t>
      </w:r>
      <w:r w:rsidR="00FA6799">
        <w:rPr>
          <w:lang w:val="en-AU"/>
        </w:rPr>
        <w:t>. This level</w:t>
      </w:r>
      <w:r w:rsidR="00071983">
        <w:rPr>
          <w:lang w:val="en-AU"/>
        </w:rPr>
        <w:t xml:space="preserve"> is </w:t>
      </w:r>
      <w:r w:rsidR="00FA6799">
        <w:rPr>
          <w:lang w:val="en-AU"/>
        </w:rPr>
        <w:t>at</w:t>
      </w:r>
      <w:r w:rsidR="00071983">
        <w:rPr>
          <w:lang w:val="en-AU"/>
        </w:rPr>
        <w:t xml:space="preserve"> the </w:t>
      </w:r>
      <w:r w:rsidR="00FA6799">
        <w:rPr>
          <w:lang w:val="en-AU"/>
        </w:rPr>
        <w:t>lower end of</w:t>
      </w:r>
      <w:r w:rsidR="00071983">
        <w:rPr>
          <w:lang w:val="en-AU"/>
        </w:rPr>
        <w:t xml:space="preserve"> the myoglobin content of red meat (0.8</w:t>
      </w:r>
      <w:r w:rsidR="00FA6799">
        <w:rPr>
          <w:lang w:val="en-AU"/>
        </w:rPr>
        <w:t>–</w:t>
      </w:r>
      <w:r w:rsidR="00071983">
        <w:rPr>
          <w:lang w:val="en-AU"/>
        </w:rPr>
        <w:t xml:space="preserve">1.8%) </w:t>
      </w:r>
      <w:r w:rsidR="00071983" w:rsidRPr="00204C4D">
        <w:rPr>
          <w:lang w:val="en-AU"/>
        </w:rPr>
        <w:t>(</w:t>
      </w:r>
      <w:r w:rsidR="00071983" w:rsidRPr="00071983">
        <w:rPr>
          <w:lang w:val="en-AU"/>
        </w:rPr>
        <w:t>Texas A&amp;M Institute, 2019</w:t>
      </w:r>
      <w:r w:rsidR="00071983" w:rsidRPr="003B006B">
        <w:rPr>
          <w:lang w:val="en-AU"/>
        </w:rPr>
        <w:t>)</w:t>
      </w:r>
      <w:r w:rsidR="00CD64BE" w:rsidRPr="003B006B">
        <w:rPr>
          <w:lang w:val="en-AU"/>
        </w:rPr>
        <w:t>.</w:t>
      </w:r>
      <w:r w:rsidR="00CD64BE">
        <w:rPr>
          <w:lang w:val="en-AU"/>
        </w:rPr>
        <w:t xml:space="preserve"> Impossible Foods ha</w:t>
      </w:r>
      <w:r w:rsidR="001E679F">
        <w:rPr>
          <w:lang w:val="en-AU"/>
        </w:rPr>
        <w:t>ve</w:t>
      </w:r>
      <w:r w:rsidR="00CD64BE">
        <w:rPr>
          <w:lang w:val="en-AU"/>
        </w:rPr>
        <w:t xml:space="preserve"> indicated </w:t>
      </w:r>
      <w:r w:rsidR="00071983">
        <w:rPr>
          <w:lang w:val="en-AU"/>
        </w:rPr>
        <w:t xml:space="preserve">that, to obtain flavouring profiles </w:t>
      </w:r>
      <w:r w:rsidR="008F7C9D">
        <w:rPr>
          <w:lang w:val="en-AU"/>
        </w:rPr>
        <w:t>similar to</w:t>
      </w:r>
      <w:r w:rsidR="00071983">
        <w:rPr>
          <w:lang w:val="en-AU"/>
        </w:rPr>
        <w:t xml:space="preserve"> meat,</w:t>
      </w:r>
      <w:r w:rsidR="00CD64BE">
        <w:rPr>
          <w:lang w:val="en-AU"/>
        </w:rPr>
        <w:t xml:space="preserve"> </w:t>
      </w:r>
      <w:r w:rsidR="002350DD">
        <w:rPr>
          <w:lang w:val="en-AU"/>
        </w:rPr>
        <w:t xml:space="preserve">soy leghemoglobin </w:t>
      </w:r>
      <w:r w:rsidR="00CD64BE">
        <w:rPr>
          <w:lang w:val="en-AU"/>
        </w:rPr>
        <w:t xml:space="preserve">levels currently used in their </w:t>
      </w:r>
      <w:r w:rsidR="009C084A">
        <w:rPr>
          <w:lang w:val="en-AU"/>
        </w:rPr>
        <w:t xml:space="preserve">raw </w:t>
      </w:r>
      <w:r w:rsidR="00CD64BE">
        <w:rPr>
          <w:lang w:val="en-AU"/>
        </w:rPr>
        <w:t xml:space="preserve">beef and pork </w:t>
      </w:r>
      <w:r w:rsidR="00F40725">
        <w:rPr>
          <w:lang w:val="en-AU"/>
        </w:rPr>
        <w:t xml:space="preserve">meat </w:t>
      </w:r>
      <w:r w:rsidR="00CD64BE">
        <w:rPr>
          <w:lang w:val="en-AU"/>
        </w:rPr>
        <w:t xml:space="preserve">analogue products are 0.45% and 0.25% respectively. </w:t>
      </w:r>
    </w:p>
    <w:p w14:paraId="544E34CC" w14:textId="77777777" w:rsidR="00CD64BE" w:rsidRDefault="00CD64BE" w:rsidP="004C01F6">
      <w:pPr>
        <w:widowControl/>
        <w:rPr>
          <w:lang w:val="en-AU"/>
        </w:rPr>
      </w:pPr>
    </w:p>
    <w:p w14:paraId="447ECE29" w14:textId="4762D334" w:rsidR="007305D1" w:rsidRDefault="00FA6799" w:rsidP="004C01F6">
      <w:pPr>
        <w:widowControl/>
        <w:rPr>
          <w:lang w:val="en-AU"/>
        </w:rPr>
      </w:pPr>
      <w:r>
        <w:rPr>
          <w:lang w:val="en-AU"/>
        </w:rPr>
        <w:t>Impossible Foods</w:t>
      </w:r>
      <w:r w:rsidR="004D1970">
        <w:rPr>
          <w:lang w:val="en-AU"/>
        </w:rPr>
        <w:t xml:space="preserve"> </w:t>
      </w:r>
      <w:r>
        <w:rPr>
          <w:lang w:val="en-AU"/>
        </w:rPr>
        <w:t>plan to</w:t>
      </w:r>
      <w:r w:rsidR="004D1970">
        <w:rPr>
          <w:lang w:val="en-AU"/>
        </w:rPr>
        <w:t xml:space="preserve"> import their packaged meat analogue products into Australia and New Zealand </w:t>
      </w:r>
      <w:r>
        <w:rPr>
          <w:lang w:val="en-AU"/>
        </w:rPr>
        <w:t xml:space="preserve">as </w:t>
      </w:r>
      <w:r w:rsidR="004D1970">
        <w:rPr>
          <w:lang w:val="en-AU"/>
        </w:rPr>
        <w:t>raw</w:t>
      </w:r>
      <w:r>
        <w:rPr>
          <w:lang w:val="en-AU"/>
        </w:rPr>
        <w:t>,</w:t>
      </w:r>
      <w:r w:rsidR="004D1970">
        <w:rPr>
          <w:lang w:val="en-AU"/>
        </w:rPr>
        <w:t xml:space="preserve"> frozen </w:t>
      </w:r>
      <w:r>
        <w:rPr>
          <w:lang w:val="en-AU"/>
        </w:rPr>
        <w:t xml:space="preserve">product </w:t>
      </w:r>
      <w:r w:rsidR="004D1970">
        <w:rPr>
          <w:lang w:val="en-AU"/>
        </w:rPr>
        <w:t xml:space="preserve">for sale to </w:t>
      </w:r>
      <w:r w:rsidR="004D1970" w:rsidRPr="00204C4D">
        <w:rPr>
          <w:lang w:val="en-AU"/>
        </w:rPr>
        <w:t>retail outlets such as grocery stor</w:t>
      </w:r>
      <w:r w:rsidR="004D1970">
        <w:rPr>
          <w:lang w:val="en-AU"/>
        </w:rPr>
        <w:t xml:space="preserve">es and </w:t>
      </w:r>
      <w:r w:rsidR="00F451DC">
        <w:rPr>
          <w:lang w:val="en-AU"/>
        </w:rPr>
        <w:t>fast food</w:t>
      </w:r>
      <w:r w:rsidR="000A071D">
        <w:rPr>
          <w:lang w:val="en-AU"/>
        </w:rPr>
        <w:t xml:space="preserve"> restaurants</w:t>
      </w:r>
      <w:r w:rsidR="00F451DC">
        <w:rPr>
          <w:lang w:val="en-AU"/>
        </w:rPr>
        <w:t xml:space="preserve"> and other caterers</w:t>
      </w:r>
      <w:r w:rsidR="004D1970">
        <w:rPr>
          <w:lang w:val="en-AU"/>
        </w:rPr>
        <w:t xml:space="preserve">. </w:t>
      </w:r>
      <w:r w:rsidR="00CD64BE">
        <w:rPr>
          <w:lang w:val="en-AU"/>
        </w:rPr>
        <w:t xml:space="preserve">The </w:t>
      </w:r>
      <w:r w:rsidR="00692837">
        <w:rPr>
          <w:lang w:val="en-AU"/>
        </w:rPr>
        <w:t>applicant</w:t>
      </w:r>
      <w:r w:rsidR="002350DD">
        <w:rPr>
          <w:lang w:val="en-AU"/>
        </w:rPr>
        <w:t xml:space="preserve"> </w:t>
      </w:r>
      <w:r w:rsidR="00CD64BE">
        <w:rPr>
          <w:lang w:val="en-AU"/>
        </w:rPr>
        <w:t>is aware that all ingredients</w:t>
      </w:r>
      <w:r w:rsidR="004D1970">
        <w:rPr>
          <w:lang w:val="en-AU"/>
        </w:rPr>
        <w:t xml:space="preserve"> </w:t>
      </w:r>
      <w:r w:rsidR="00CD64BE">
        <w:rPr>
          <w:lang w:val="en-AU"/>
        </w:rPr>
        <w:t>in the final meat analogue product need to be compl</w:t>
      </w:r>
      <w:r w:rsidR="004D1970">
        <w:rPr>
          <w:lang w:val="en-AU"/>
        </w:rPr>
        <w:t>iant with the Code</w:t>
      </w:r>
      <w:r w:rsidR="00CD64BE">
        <w:rPr>
          <w:lang w:val="en-AU"/>
        </w:rPr>
        <w:t>.</w:t>
      </w:r>
      <w:bookmarkStart w:id="24" w:name="_Toc300761892"/>
      <w:bookmarkStart w:id="25" w:name="_Toc300933421"/>
    </w:p>
    <w:p w14:paraId="206F23A9" w14:textId="66853001" w:rsidR="00D032C8" w:rsidRDefault="00D032C8" w:rsidP="004C01F6">
      <w:pPr>
        <w:widowControl/>
        <w:rPr>
          <w:lang w:val="en-AU"/>
        </w:rPr>
      </w:pPr>
    </w:p>
    <w:p w14:paraId="6B1CB9F8" w14:textId="2A025B40" w:rsidR="00D032C8" w:rsidRDefault="00D032C8" w:rsidP="00353150">
      <w:pPr>
        <w:widowControl/>
        <w:rPr>
          <w:lang w:val="en-AU"/>
        </w:rPr>
      </w:pPr>
      <w:r>
        <w:rPr>
          <w:lang w:val="en-AU"/>
        </w:rPr>
        <w:t xml:space="preserve">The </w:t>
      </w:r>
      <w:r w:rsidR="00A27E8D">
        <w:rPr>
          <w:lang w:val="en-AU"/>
        </w:rPr>
        <w:t xml:space="preserve">application sought to include soy leghemoglobin in the Code </w:t>
      </w:r>
      <w:r>
        <w:rPr>
          <w:lang w:val="en-AU"/>
        </w:rPr>
        <w:t>as a novel food (</w:t>
      </w:r>
      <w:r w:rsidR="008B56C9">
        <w:rPr>
          <w:lang w:val="en-AU"/>
        </w:rPr>
        <w:t xml:space="preserve">in </w:t>
      </w:r>
      <w:r w:rsidR="00A27E8D">
        <w:rPr>
          <w:lang w:val="en-AU"/>
        </w:rPr>
        <w:t>S</w:t>
      </w:r>
      <w:r>
        <w:rPr>
          <w:lang w:val="en-AU"/>
        </w:rPr>
        <w:t>chedule 25)</w:t>
      </w:r>
      <w:r w:rsidR="000D3971">
        <w:rPr>
          <w:rStyle w:val="FootnoteReference"/>
          <w:lang w:val="en-AU"/>
        </w:rPr>
        <w:footnoteReference w:id="3"/>
      </w:r>
      <w:r w:rsidR="00A27E8D">
        <w:rPr>
          <w:lang w:val="en-AU"/>
        </w:rPr>
        <w:t xml:space="preserve">, </w:t>
      </w:r>
      <w:r w:rsidR="00C1360C">
        <w:rPr>
          <w:lang w:val="en-AU"/>
        </w:rPr>
        <w:t xml:space="preserve">a </w:t>
      </w:r>
      <w:r w:rsidR="00A27E8D">
        <w:rPr>
          <w:lang w:val="en-AU"/>
        </w:rPr>
        <w:t>nutritive substance (source of iron),</w:t>
      </w:r>
      <w:r>
        <w:rPr>
          <w:lang w:val="en-AU"/>
        </w:rPr>
        <w:t xml:space="preserve"> </w:t>
      </w:r>
      <w:r w:rsidR="00C1360C">
        <w:rPr>
          <w:lang w:val="en-AU"/>
        </w:rPr>
        <w:t xml:space="preserve">and </w:t>
      </w:r>
      <w:r>
        <w:rPr>
          <w:lang w:val="en-AU"/>
        </w:rPr>
        <w:t>food produced using gene technology (</w:t>
      </w:r>
      <w:r w:rsidR="008B56C9">
        <w:rPr>
          <w:lang w:val="en-AU"/>
        </w:rPr>
        <w:t xml:space="preserve">in </w:t>
      </w:r>
      <w:r w:rsidR="00A27E8D">
        <w:rPr>
          <w:lang w:val="en-AU"/>
        </w:rPr>
        <w:t>S</w:t>
      </w:r>
      <w:r w:rsidR="009C084A">
        <w:rPr>
          <w:lang w:val="en-AU"/>
        </w:rPr>
        <w:t>chedule 26)</w:t>
      </w:r>
      <w:r w:rsidR="00C1360C">
        <w:rPr>
          <w:lang w:val="en-AU"/>
        </w:rPr>
        <w:t xml:space="preserve">. </w:t>
      </w:r>
      <w:r w:rsidR="008B56C9">
        <w:rPr>
          <w:lang w:val="en-AU"/>
        </w:rPr>
        <w:t>It also</w:t>
      </w:r>
      <w:r w:rsidR="00C1360C">
        <w:rPr>
          <w:lang w:val="en-AU"/>
        </w:rPr>
        <w:t xml:space="preserve"> </w:t>
      </w:r>
      <w:r w:rsidR="008B56C9">
        <w:rPr>
          <w:lang w:val="en-AU"/>
        </w:rPr>
        <w:t xml:space="preserve">provided </w:t>
      </w:r>
      <w:r>
        <w:rPr>
          <w:lang w:val="en-AU"/>
        </w:rPr>
        <w:t>identity and purity specifications</w:t>
      </w:r>
      <w:r w:rsidR="00B35235">
        <w:rPr>
          <w:lang w:val="en-AU"/>
        </w:rPr>
        <w:t xml:space="preserve"> for LegH Prep</w:t>
      </w:r>
      <w:r>
        <w:rPr>
          <w:lang w:val="en-AU"/>
        </w:rPr>
        <w:t xml:space="preserve"> (</w:t>
      </w:r>
      <w:r w:rsidR="008B56C9">
        <w:rPr>
          <w:lang w:val="en-AU"/>
        </w:rPr>
        <w:t xml:space="preserve">proposed for </w:t>
      </w:r>
      <w:r w:rsidR="00A27E8D">
        <w:rPr>
          <w:lang w:val="en-AU"/>
        </w:rPr>
        <w:t>S</w:t>
      </w:r>
      <w:r>
        <w:rPr>
          <w:lang w:val="en-AU"/>
        </w:rPr>
        <w:t>chedule 3).</w:t>
      </w:r>
      <w:r w:rsidR="00E17AEC">
        <w:rPr>
          <w:lang w:val="en-AU"/>
        </w:rPr>
        <w:t xml:space="preserve"> </w:t>
      </w:r>
      <w:r w:rsidR="00353150">
        <w:t xml:space="preserve">FSANZ understands the applicant has </w:t>
      </w:r>
      <w:r w:rsidR="00C1360C">
        <w:t xml:space="preserve">applied for </w:t>
      </w:r>
      <w:r w:rsidR="00353150">
        <w:t>patents in Australia and New Zealand for the methods of production and specifications for their meat analogue products, their LegH Prep and soy leghemoglobin product</w:t>
      </w:r>
      <w:r w:rsidR="00353150">
        <w:rPr>
          <w:rStyle w:val="FootnoteReference"/>
        </w:rPr>
        <w:footnoteReference w:id="4"/>
      </w:r>
      <w:r w:rsidR="00353150">
        <w:t xml:space="preserve">. </w:t>
      </w:r>
    </w:p>
    <w:p w14:paraId="76D539AA" w14:textId="6D14E1D0" w:rsidR="0053464E" w:rsidRPr="0053464E" w:rsidRDefault="00F33BB8" w:rsidP="004C01F6">
      <w:pPr>
        <w:pStyle w:val="Heading2"/>
        <w:keepNext w:val="0"/>
        <w:widowControl/>
      </w:pPr>
      <w:bookmarkStart w:id="26" w:name="_Toc26284640"/>
      <w:bookmarkStart w:id="27" w:name="_Toc26980491"/>
      <w:r>
        <w:t>1</w:t>
      </w:r>
      <w:r w:rsidR="00A56E34">
        <w:t>.3</w:t>
      </w:r>
      <w:r w:rsidR="007305D1">
        <w:tab/>
      </w:r>
      <w:r w:rsidR="00A56E34">
        <w:t>The c</w:t>
      </w:r>
      <w:r w:rsidR="0053464E" w:rsidRPr="0053464E">
        <w:t xml:space="preserve">urrent </w:t>
      </w:r>
      <w:r w:rsidR="00E72650">
        <w:t>s</w:t>
      </w:r>
      <w:r w:rsidR="0053464E" w:rsidRPr="0053464E">
        <w:t>tandard</w:t>
      </w:r>
      <w:bookmarkEnd w:id="24"/>
      <w:bookmarkEnd w:id="25"/>
      <w:r w:rsidR="002F2749">
        <w:t>s</w:t>
      </w:r>
      <w:bookmarkEnd w:id="26"/>
      <w:bookmarkEnd w:id="27"/>
    </w:p>
    <w:p w14:paraId="3D18C7BA" w14:textId="47B48410" w:rsidR="004C6DC5" w:rsidRDefault="004C6DC5" w:rsidP="004C01F6">
      <w:pPr>
        <w:pStyle w:val="Heading3"/>
        <w:keepNext w:val="0"/>
        <w:widowControl/>
        <w:ind w:left="0" w:firstLine="0"/>
      </w:pPr>
      <w:bookmarkStart w:id="28" w:name="_Toc26284641"/>
      <w:bookmarkStart w:id="29" w:name="_Toc26980492"/>
      <w:r>
        <w:t>1.3.1</w:t>
      </w:r>
      <w:r>
        <w:tab/>
        <w:t>Australia and New Zealand</w:t>
      </w:r>
      <w:bookmarkEnd w:id="28"/>
      <w:bookmarkEnd w:id="29"/>
    </w:p>
    <w:p w14:paraId="74B28C94" w14:textId="5825CC3B" w:rsidR="002F2749" w:rsidRDefault="002F2749" w:rsidP="004C01F6">
      <w:pPr>
        <w:widowControl/>
        <w:rPr>
          <w:rFonts w:ascii="Calibri" w:hAnsi="Calibri"/>
          <w:szCs w:val="22"/>
          <w:lang w:bidi="ar-SA"/>
        </w:rPr>
      </w:pPr>
      <w:r>
        <w:t>Australian and New Zealand food laws require food for sale to comply with the following Code requirements.</w:t>
      </w:r>
    </w:p>
    <w:p w14:paraId="1552DF7F" w14:textId="6EF4F71D" w:rsidR="002F2749" w:rsidRDefault="006716FD" w:rsidP="006716FD">
      <w:pPr>
        <w:pStyle w:val="Heading4"/>
      </w:pPr>
      <w:r>
        <w:t>1.3.1.1</w:t>
      </w:r>
      <w:r>
        <w:tab/>
      </w:r>
      <w:r w:rsidR="002F2749" w:rsidRPr="00E31C9D">
        <w:t>Permitted use</w:t>
      </w:r>
    </w:p>
    <w:p w14:paraId="054E5C91" w14:textId="0DAD0BD0" w:rsidR="002F2749" w:rsidRDefault="001E679F" w:rsidP="004C01F6">
      <w:pPr>
        <w:widowControl/>
      </w:pPr>
      <w:r>
        <w:t>Standard</w:t>
      </w:r>
      <w:r w:rsidRPr="001805AF">
        <w:t xml:space="preserve"> </w:t>
      </w:r>
      <w:r w:rsidR="002F2749" w:rsidRPr="001805AF">
        <w:t xml:space="preserve">1.1.1—10(5)(c) and </w:t>
      </w:r>
      <w:r>
        <w:t>10</w:t>
      </w:r>
      <w:r w:rsidR="002F2749" w:rsidRPr="001805AF">
        <w:t xml:space="preserve">(6)(g) </w:t>
      </w:r>
      <w:r w:rsidR="002F2749">
        <w:t>require</w:t>
      </w:r>
      <w:r w:rsidR="002F2749" w:rsidRPr="001805AF">
        <w:t xml:space="preserve"> that, unless</w:t>
      </w:r>
      <w:r w:rsidR="002F2749">
        <w:t xml:space="preserve"> expressly permitted</w:t>
      </w:r>
      <w:r w:rsidR="002F2749" w:rsidRPr="001805AF">
        <w:t xml:space="preserve">, a food for sale must not be a </w:t>
      </w:r>
      <w:r w:rsidR="002F2749" w:rsidRPr="00EC2441">
        <w:rPr>
          <w:i/>
        </w:rPr>
        <w:t>food produced using gene technology</w:t>
      </w:r>
      <w:r w:rsidR="002F2749" w:rsidRPr="00213529">
        <w:t xml:space="preserve">, or have as an ingredient or component a </w:t>
      </w:r>
      <w:r w:rsidR="002F2749" w:rsidRPr="00EC2441">
        <w:rPr>
          <w:i/>
        </w:rPr>
        <w:t>food produced using gene technology</w:t>
      </w:r>
      <w:r w:rsidR="002F2749" w:rsidRPr="00213529">
        <w:t xml:space="preserve">. </w:t>
      </w:r>
      <w:r w:rsidR="00093E10">
        <w:t>S</w:t>
      </w:r>
      <w:r w:rsidR="00E647A0">
        <w:t>oy leghemoglobin</w:t>
      </w:r>
      <w:r w:rsidR="009814D2">
        <w:t xml:space="preserve"> </w:t>
      </w:r>
      <w:r w:rsidR="00265170">
        <w:t>in the form of</w:t>
      </w:r>
      <w:r w:rsidR="009814D2">
        <w:t xml:space="preserve"> LegH Prep</w:t>
      </w:r>
      <w:r w:rsidR="002F2749">
        <w:t xml:space="preserve"> </w:t>
      </w:r>
      <w:r w:rsidR="00AA2155">
        <w:t>meet</w:t>
      </w:r>
      <w:r w:rsidR="00326121">
        <w:t>s</w:t>
      </w:r>
      <w:r w:rsidR="00AA2155">
        <w:t xml:space="preserve"> the criteria for </w:t>
      </w:r>
      <w:r w:rsidR="002F2749">
        <w:rPr>
          <w:i/>
        </w:rPr>
        <w:t>food</w:t>
      </w:r>
      <w:r w:rsidR="002F2749" w:rsidRPr="00C34DBE">
        <w:rPr>
          <w:i/>
        </w:rPr>
        <w:t xml:space="preserve"> produced using gene technology</w:t>
      </w:r>
      <w:r w:rsidR="002F2749" w:rsidRPr="00B35F00">
        <w:t xml:space="preserve"> </w:t>
      </w:r>
      <w:r w:rsidR="002F2749">
        <w:t>(</w:t>
      </w:r>
      <w:r w:rsidR="002F2749" w:rsidRPr="00B35F00">
        <w:t>section 1.1</w:t>
      </w:r>
      <w:r w:rsidR="002F2749">
        <w:t>.2—2)</w:t>
      </w:r>
      <w:r w:rsidR="00093E10">
        <w:t>,</w:t>
      </w:r>
      <w:r w:rsidR="002F2749">
        <w:t xml:space="preserve"> as </w:t>
      </w:r>
      <w:r>
        <w:t>it is</w:t>
      </w:r>
      <w:r w:rsidR="002F2749">
        <w:t xml:space="preserve"> derived from </w:t>
      </w:r>
      <w:r w:rsidR="002F2749" w:rsidRPr="00B35F00">
        <w:t xml:space="preserve">an organism </w:t>
      </w:r>
      <w:r w:rsidR="002F2749">
        <w:t xml:space="preserve">modified using gene technology </w:t>
      </w:r>
      <w:r w:rsidR="002F2749" w:rsidRPr="00B35F00">
        <w:t xml:space="preserve">(i.e. </w:t>
      </w:r>
      <w:r w:rsidR="002F2749">
        <w:t xml:space="preserve">derived from a </w:t>
      </w:r>
      <w:r w:rsidR="002F2749" w:rsidRPr="00B35F00">
        <w:t xml:space="preserve">GM </w:t>
      </w:r>
      <w:r w:rsidR="002F2749" w:rsidRPr="002F2749">
        <w:rPr>
          <w:i/>
        </w:rPr>
        <w:t>P.</w:t>
      </w:r>
      <w:r w:rsidR="002F2749">
        <w:rPr>
          <w:i/>
        </w:rPr>
        <w:t xml:space="preserve"> </w:t>
      </w:r>
      <w:r w:rsidR="002F2749" w:rsidRPr="002F2749">
        <w:rPr>
          <w:i/>
        </w:rPr>
        <w:t>pastoris</w:t>
      </w:r>
      <w:r w:rsidR="002F2749">
        <w:t xml:space="preserve"> strain</w:t>
      </w:r>
      <w:r w:rsidR="002F2749" w:rsidRPr="00B35F00">
        <w:t xml:space="preserve">). </w:t>
      </w:r>
      <w:r w:rsidR="002F2749" w:rsidRPr="001805AF" w:rsidDel="00835E0C">
        <w:t>If approved, e</w:t>
      </w:r>
      <w:r w:rsidR="002F2749" w:rsidDel="00835E0C">
        <w:t>xpress permission</w:t>
      </w:r>
      <w:r w:rsidR="002F2749" w:rsidRPr="001805AF" w:rsidDel="00835E0C">
        <w:t xml:space="preserve"> for</w:t>
      </w:r>
      <w:r w:rsidR="002F2749">
        <w:t xml:space="preserve"> </w:t>
      </w:r>
      <w:r w:rsidR="008503FB">
        <w:t>soy leghemoglobin</w:t>
      </w:r>
      <w:r w:rsidR="002F2749">
        <w:t xml:space="preserve"> is</w:t>
      </w:r>
      <w:r w:rsidR="002F2749" w:rsidRPr="001805AF" w:rsidDel="00835E0C">
        <w:t xml:space="preserve"> required in a</w:t>
      </w:r>
      <w:r w:rsidR="00485604">
        <w:t xml:space="preserve">ccordance with Standard 1.5.2 </w:t>
      </w:r>
      <w:r>
        <w:t xml:space="preserve">– </w:t>
      </w:r>
      <w:r w:rsidR="002F2749" w:rsidRPr="009814D2" w:rsidDel="00835E0C">
        <w:rPr>
          <w:i/>
        </w:rPr>
        <w:t>Food produced using gene technology</w:t>
      </w:r>
      <w:r w:rsidR="002F2749">
        <w:t xml:space="preserve"> (i.e. listed in Schedule 26)</w:t>
      </w:r>
      <w:r w:rsidR="00265170">
        <w:t xml:space="preserve"> (see also </w:t>
      </w:r>
      <w:r w:rsidR="008F7C9D">
        <w:t>section 1.3.1.2</w:t>
      </w:r>
      <w:r w:rsidR="00265170">
        <w:t xml:space="preserve"> below)</w:t>
      </w:r>
      <w:r w:rsidR="002F2749">
        <w:t>.</w:t>
      </w:r>
    </w:p>
    <w:p w14:paraId="670793DD" w14:textId="7E17A4D3" w:rsidR="002F2749" w:rsidRPr="00582C15" w:rsidRDefault="002F2749" w:rsidP="004C01F6">
      <w:pPr>
        <w:widowControl/>
      </w:pPr>
    </w:p>
    <w:p w14:paraId="342C87ED" w14:textId="77770E29" w:rsidR="00146A2B" w:rsidRDefault="0002274F" w:rsidP="004C01F6">
      <w:pPr>
        <w:widowControl/>
      </w:pPr>
      <w:r w:rsidRPr="00582C15">
        <w:t>P</w:t>
      </w:r>
      <w:r w:rsidR="002F2749" w:rsidRPr="00582C15">
        <w:t>a</w:t>
      </w:r>
      <w:r w:rsidR="002F2749">
        <w:t xml:space="preserve">ragraph </w:t>
      </w:r>
      <w:r w:rsidR="002F2749" w:rsidRPr="001805AF">
        <w:t>1.1.1—10</w:t>
      </w:r>
      <w:r w:rsidR="002F2749">
        <w:t>(6)(b</w:t>
      </w:r>
      <w:r w:rsidR="002F2749" w:rsidRPr="001805AF">
        <w:t>)</w:t>
      </w:r>
      <w:r w:rsidR="002F2749">
        <w:t xml:space="preserve"> requires that, unless expressly permitted, a food for sale must not have as an ingredient or component a substance that </w:t>
      </w:r>
      <w:r w:rsidR="001E679F">
        <w:t xml:space="preserve">is </w:t>
      </w:r>
      <w:r w:rsidR="002F2749" w:rsidRPr="0014740B">
        <w:rPr>
          <w:i/>
        </w:rPr>
        <w:t>used as a nutritive substance</w:t>
      </w:r>
      <w:r w:rsidR="002F2749">
        <w:rPr>
          <w:i/>
        </w:rPr>
        <w:t xml:space="preserve"> </w:t>
      </w:r>
      <w:r w:rsidR="002F2749">
        <w:t xml:space="preserve">(section </w:t>
      </w:r>
      <w:r w:rsidR="002F2749" w:rsidRPr="00B35F00">
        <w:t>1.1.2—</w:t>
      </w:r>
      <w:r w:rsidR="002F2749">
        <w:t>1</w:t>
      </w:r>
      <w:r w:rsidR="002F2749" w:rsidRPr="00B35F00">
        <w:t>2</w:t>
      </w:r>
      <w:r w:rsidR="002F2749">
        <w:t xml:space="preserve">). </w:t>
      </w:r>
    </w:p>
    <w:p w14:paraId="297DD381" w14:textId="77777777" w:rsidR="00146A2B" w:rsidRDefault="00146A2B" w:rsidP="004C01F6">
      <w:pPr>
        <w:widowControl/>
      </w:pPr>
    </w:p>
    <w:p w14:paraId="4FDC19F3" w14:textId="3BEF0533" w:rsidR="00146A2B" w:rsidRDefault="009262E6" w:rsidP="004C01F6">
      <w:pPr>
        <w:widowControl/>
      </w:pPr>
      <w:r>
        <w:t>Section</w:t>
      </w:r>
      <w:r w:rsidR="00146A2B">
        <w:t xml:space="preserve"> 1.3.2—3 specifies that a vitamin or mineral may be used as a nutritive substance in food if:</w:t>
      </w:r>
    </w:p>
    <w:p w14:paraId="7333AE68" w14:textId="2292C4B7" w:rsidR="00146A2B" w:rsidRPr="00146A2B" w:rsidRDefault="00146A2B" w:rsidP="009A3D0F">
      <w:pPr>
        <w:widowControl/>
        <w:ind w:firstLine="567"/>
        <w:rPr>
          <w:i/>
          <w:iCs/>
        </w:rPr>
      </w:pPr>
      <w:r w:rsidRPr="00146A2B">
        <w:rPr>
          <w:i/>
          <w:iCs/>
        </w:rPr>
        <w:t>(a)</w:t>
      </w:r>
      <w:r w:rsidRPr="00146A2B">
        <w:rPr>
          <w:i/>
          <w:iCs/>
        </w:rPr>
        <w:tab/>
        <w:t>the vitamin or mineral is in a permitted form specified in section S17—2 or section S17—3; and</w:t>
      </w:r>
    </w:p>
    <w:p w14:paraId="20B6BAE7" w14:textId="2786F399" w:rsidR="00146A2B" w:rsidRPr="00146A2B" w:rsidRDefault="00146A2B" w:rsidP="004C01F6">
      <w:pPr>
        <w:widowControl/>
        <w:rPr>
          <w:i/>
          <w:iCs/>
        </w:rPr>
      </w:pPr>
      <w:r w:rsidRPr="00146A2B">
        <w:rPr>
          <w:i/>
          <w:iCs/>
        </w:rPr>
        <w:tab/>
        <w:t>(b)</w:t>
      </w:r>
      <w:r w:rsidRPr="00146A2B">
        <w:rPr>
          <w:i/>
          <w:iCs/>
        </w:rPr>
        <w:tab/>
        <w:t>the vitamin or mineral is listed in relation to that type of food in section S17—4; and</w:t>
      </w:r>
    </w:p>
    <w:p w14:paraId="1D2CF1C8" w14:textId="77777777" w:rsidR="00146A2B" w:rsidRPr="00146A2B" w:rsidRDefault="00146A2B" w:rsidP="004C01F6">
      <w:pPr>
        <w:widowControl/>
        <w:rPr>
          <w:i/>
          <w:iCs/>
        </w:rPr>
      </w:pPr>
      <w:r w:rsidRPr="00146A2B">
        <w:rPr>
          <w:i/>
          <w:iCs/>
        </w:rPr>
        <w:tab/>
        <w:t>(c)</w:t>
      </w:r>
      <w:r w:rsidRPr="00146A2B">
        <w:rPr>
          <w:i/>
          <w:iCs/>
        </w:rPr>
        <w:tab/>
        <w:t>the total amount of the naturally occurring and added vitamin or mineral present in a *reference quantity of the food is no more than the amount (if any) specified in relation to</w:t>
      </w:r>
      <w:r w:rsidR="00F50242">
        <w:rPr>
          <w:i/>
          <w:iCs/>
        </w:rPr>
        <w:t xml:space="preserve"> </w:t>
      </w:r>
      <w:r w:rsidRPr="00146A2B">
        <w:rPr>
          <w:i/>
          <w:iCs/>
        </w:rPr>
        <w:t>that vitamin or mineral in section S17—4.</w:t>
      </w:r>
    </w:p>
    <w:p w14:paraId="3FBA386C" w14:textId="77777777" w:rsidR="00D16524" w:rsidRDefault="00D16524" w:rsidP="00D16524">
      <w:pPr>
        <w:widowControl/>
      </w:pPr>
    </w:p>
    <w:p w14:paraId="2D587EC3" w14:textId="238851E3" w:rsidR="00255BFA" w:rsidRPr="00F66989" w:rsidRDefault="00F50242" w:rsidP="00D16524">
      <w:pPr>
        <w:widowControl/>
      </w:pPr>
      <w:r>
        <w:t xml:space="preserve">Schedule S17—4 </w:t>
      </w:r>
      <w:r w:rsidRPr="00F50242">
        <w:t>already permit</w:t>
      </w:r>
      <w:r>
        <w:t>s</w:t>
      </w:r>
      <w:r w:rsidRPr="00F50242">
        <w:t xml:space="preserve"> addition </w:t>
      </w:r>
      <w:r>
        <w:t xml:space="preserve">of iron </w:t>
      </w:r>
      <w:r w:rsidRPr="00F50242">
        <w:t xml:space="preserve">to meat analogues </w:t>
      </w:r>
      <w:r>
        <w:t>providing they</w:t>
      </w:r>
      <w:r w:rsidRPr="00F50242">
        <w:t xml:space="preserve"> meet the outlined protein conditions</w:t>
      </w:r>
      <w:r w:rsidR="00255BFA" w:rsidRPr="00255BFA">
        <w:rPr>
          <w:i/>
          <w:lang w:bidi="ar-SA"/>
        </w:rPr>
        <w:t xml:space="preserve"> </w:t>
      </w:r>
      <w:r w:rsidR="00255BFA" w:rsidRPr="001373DD">
        <w:rPr>
          <w:i/>
          <w:lang w:bidi="ar-SA"/>
        </w:rPr>
        <w:t>where no less than 12% of the energy value of the food is derived from protein, and the food contains 5 g protein per serve of the food</w:t>
      </w:r>
      <w:r w:rsidR="00255BFA">
        <w:rPr>
          <w:i/>
          <w:lang w:bidi="ar-SA"/>
        </w:rPr>
        <w:t>.</w:t>
      </w:r>
      <w:r w:rsidR="00255BFA">
        <w:t xml:space="preserve"> </w:t>
      </w:r>
      <w:r w:rsidR="006842B6" w:rsidRPr="006842B6">
        <w:t xml:space="preserve">Since soy leghemoglobin </w:t>
      </w:r>
      <w:r>
        <w:t>will be</w:t>
      </w:r>
      <w:r w:rsidRPr="00F50242">
        <w:t xml:space="preserve"> </w:t>
      </w:r>
      <w:r w:rsidR="006842B6" w:rsidRPr="00F50242">
        <w:t>used as a source of iron, meat analogues containing soy leghemoglobin</w:t>
      </w:r>
      <w:r w:rsidR="006842B6">
        <w:t xml:space="preserve"> will need to</w:t>
      </w:r>
      <w:r w:rsidR="006842B6" w:rsidRPr="0089602D">
        <w:t xml:space="preserve"> meet the</w:t>
      </w:r>
      <w:r>
        <w:t>se</w:t>
      </w:r>
      <w:r w:rsidR="006842B6">
        <w:t xml:space="preserve"> condition</w:t>
      </w:r>
      <w:r>
        <w:t>s</w:t>
      </w:r>
      <w:r w:rsidR="00255BFA">
        <w:t>.</w:t>
      </w:r>
      <w:r w:rsidR="00255BFA">
        <w:rPr>
          <w:lang w:bidi="ar-SA"/>
        </w:rPr>
        <w:t xml:space="preserve"> The total iron content of meat analogues is indirectly controlled by a ‘maximum claim per reference quantity (maximum percentage RDI claim)’ i.e. 30% RDI/100 g reference quantity</w:t>
      </w:r>
      <w:r w:rsidR="00255BFA">
        <w:t>. N</w:t>
      </w:r>
      <w:r w:rsidR="00255BFA">
        <w:rPr>
          <w:lang w:bidi="ar-SA"/>
        </w:rPr>
        <w:t>o additional ‘maximum permitted amount per reference quantity’ is set for iron.</w:t>
      </w:r>
      <w:r w:rsidR="00D16524" w:rsidRPr="00D16524">
        <w:t xml:space="preserve"> </w:t>
      </w:r>
      <w:r w:rsidR="00D16524">
        <w:t>If soy haemoglobin is regarded as a permitted form of iron, it will need listing in Schedule S17—3.</w:t>
      </w:r>
    </w:p>
    <w:p w14:paraId="477315FF" w14:textId="6D6C6951" w:rsidR="004C6DC5" w:rsidRPr="006716FD" w:rsidRDefault="006716FD" w:rsidP="006716FD">
      <w:pPr>
        <w:pStyle w:val="Heading4"/>
      </w:pPr>
      <w:r w:rsidRPr="006716FD">
        <w:t>1.3.1.2</w:t>
      </w:r>
      <w:r w:rsidRPr="006716FD">
        <w:tab/>
      </w:r>
      <w:r w:rsidR="004C6DC5" w:rsidRPr="006716FD">
        <w:t>Identity and purity</w:t>
      </w:r>
    </w:p>
    <w:p w14:paraId="5946A6EF" w14:textId="55127FB9" w:rsidR="004C6DC5" w:rsidRDefault="004C6DC5" w:rsidP="004C01F6">
      <w:pPr>
        <w:widowControl/>
      </w:pPr>
      <w:r>
        <w:t xml:space="preserve">Section 1.1.1—15 requires that a substance used as a nutritive substance must comply with any relevant specification set out in Schedule 3. </w:t>
      </w:r>
      <w:r w:rsidRPr="00A735D3">
        <w:t>Soy</w:t>
      </w:r>
      <w:r>
        <w:t xml:space="preserve"> leghemoglobin</w:t>
      </w:r>
      <w:r w:rsidR="00265170">
        <w:t xml:space="preserve"> in the form of LegH Prep</w:t>
      </w:r>
      <w:r>
        <w:t xml:space="preserve"> is </w:t>
      </w:r>
      <w:r w:rsidR="00326121">
        <w:t xml:space="preserve">intended as </w:t>
      </w:r>
      <w:r w:rsidR="00265170">
        <w:t>a</w:t>
      </w:r>
      <w:r w:rsidR="00326121">
        <w:t xml:space="preserve"> </w:t>
      </w:r>
      <w:r w:rsidR="00265170">
        <w:t>new</w:t>
      </w:r>
      <w:r>
        <w:t xml:space="preserve"> ingredient in </w:t>
      </w:r>
      <w:r w:rsidR="00265170">
        <w:t xml:space="preserve">Australia and New Zealand food supply </w:t>
      </w:r>
      <w:r>
        <w:t xml:space="preserve">and </w:t>
      </w:r>
      <w:r w:rsidR="00326121">
        <w:t xml:space="preserve">since </w:t>
      </w:r>
      <w:r>
        <w:t xml:space="preserve">there are no specifications </w:t>
      </w:r>
      <w:r w:rsidR="00326121">
        <w:t xml:space="preserve">currently </w:t>
      </w:r>
      <w:r>
        <w:t xml:space="preserve">provided in the Code, a specification will be </w:t>
      </w:r>
      <w:r w:rsidR="00326121">
        <w:t xml:space="preserve">required </w:t>
      </w:r>
      <w:r>
        <w:t xml:space="preserve">in Schedule 3. </w:t>
      </w:r>
    </w:p>
    <w:p w14:paraId="64517BB4" w14:textId="6552EA11" w:rsidR="002F2749" w:rsidRDefault="006716FD" w:rsidP="006716FD">
      <w:pPr>
        <w:pStyle w:val="Heading4"/>
        <w:rPr>
          <w:lang w:eastAsia="en-AU"/>
        </w:rPr>
      </w:pPr>
      <w:r>
        <w:rPr>
          <w:lang w:eastAsia="en-AU"/>
        </w:rPr>
        <w:t>1.3.1.3</w:t>
      </w:r>
      <w:r>
        <w:rPr>
          <w:lang w:eastAsia="en-AU"/>
        </w:rPr>
        <w:tab/>
      </w:r>
      <w:r w:rsidR="002F2749">
        <w:rPr>
          <w:lang w:eastAsia="en-AU"/>
        </w:rPr>
        <w:t>Labelling requirements</w:t>
      </w:r>
    </w:p>
    <w:p w14:paraId="14E6C93E" w14:textId="64B64B8B" w:rsidR="002F2749" w:rsidRDefault="002F2749" w:rsidP="00D16524">
      <w:pPr>
        <w:widowControl/>
        <w:rPr>
          <w:i/>
          <w:szCs w:val="22"/>
          <w:lang w:eastAsia="en-AU"/>
        </w:rPr>
      </w:pPr>
      <w:r>
        <w:t>Paragraph 1.1.1—10(8) requires that food for sale must comply with all relevant labelling requirements in the Code for that food.</w:t>
      </w:r>
      <w:r>
        <w:rPr>
          <w:szCs w:val="22"/>
          <w:lang w:eastAsia="en-AU"/>
        </w:rPr>
        <w:t xml:space="preserve"> </w:t>
      </w:r>
    </w:p>
    <w:p w14:paraId="74C31654" w14:textId="7F964A89" w:rsidR="002F2749" w:rsidRDefault="002F2749" w:rsidP="00D16524">
      <w:pPr>
        <w:widowControl/>
        <w:rPr>
          <w:szCs w:val="22"/>
          <w:lang w:eastAsia="en-AU"/>
        </w:rPr>
      </w:pPr>
    </w:p>
    <w:p w14:paraId="7C198384" w14:textId="300D1135" w:rsidR="002F2749" w:rsidRDefault="002F2749" w:rsidP="004C01F6">
      <w:pPr>
        <w:widowControl/>
      </w:pPr>
      <w:r>
        <w:t xml:space="preserve">Subsection 1.2.3—4(1) requires certain foods and substances to be declared when present </w:t>
      </w:r>
      <w:r w:rsidR="006B3BC9">
        <w:t xml:space="preserve">as ingredients </w:t>
      </w:r>
      <w:r>
        <w:t>in a food for sale.</w:t>
      </w:r>
      <w:r w:rsidR="006B3BC9" w:rsidDel="006B3BC9">
        <w:t xml:space="preserve"> </w:t>
      </w:r>
    </w:p>
    <w:p w14:paraId="47EE063C" w14:textId="77777777" w:rsidR="002F2749" w:rsidRDefault="002F2749" w:rsidP="004C01F6">
      <w:pPr>
        <w:widowControl/>
      </w:pPr>
    </w:p>
    <w:p w14:paraId="7B3C874D" w14:textId="559ECB67" w:rsidR="002F2749" w:rsidRDefault="002F2749" w:rsidP="004C01F6">
      <w:pPr>
        <w:widowControl/>
      </w:pPr>
      <w:r>
        <w:t>Standard 1.2.4 generally requires food products to be labelled with a statement of ingredients.</w:t>
      </w:r>
    </w:p>
    <w:p w14:paraId="5C1F9FAA" w14:textId="77777777" w:rsidR="002F2749" w:rsidRDefault="002F2749" w:rsidP="004C01F6">
      <w:pPr>
        <w:widowControl/>
      </w:pPr>
    </w:p>
    <w:p w14:paraId="45AA4BF6" w14:textId="77777777" w:rsidR="00753C8E" w:rsidRDefault="00753C8E" w:rsidP="00753C8E">
      <w:pPr>
        <w:widowControl/>
      </w:pPr>
      <w:r>
        <w:t>Standard 1.2.7 sets out the requirements and conditions for voluntary nutrition, health and related claims made about food</w:t>
      </w:r>
      <w:r w:rsidRPr="00543A2E">
        <w:t xml:space="preserve">. </w:t>
      </w:r>
    </w:p>
    <w:p w14:paraId="731655FA" w14:textId="77777777" w:rsidR="00753C8E" w:rsidRDefault="00753C8E" w:rsidP="00753C8E">
      <w:pPr>
        <w:widowControl/>
      </w:pPr>
    </w:p>
    <w:p w14:paraId="443D1EFD" w14:textId="2AACF12B" w:rsidR="002F2749" w:rsidRDefault="002F2749" w:rsidP="004C01F6">
      <w:pPr>
        <w:widowControl/>
      </w:pPr>
      <w:r>
        <w:t xml:space="preserve">Standard 1.2.8 generally requires food products to be labelled with nutrition information. </w:t>
      </w:r>
    </w:p>
    <w:p w14:paraId="22844B60" w14:textId="77777777" w:rsidR="002F2749" w:rsidRDefault="002F2749" w:rsidP="004C01F6">
      <w:pPr>
        <w:widowControl/>
      </w:pPr>
    </w:p>
    <w:p w14:paraId="01451EEB" w14:textId="061608F2" w:rsidR="002F2749" w:rsidRDefault="002F2749" w:rsidP="004C01F6">
      <w:pPr>
        <w:widowControl/>
      </w:pPr>
      <w:r>
        <w:t xml:space="preserve">Section 1.5.2—4 sets out labelling requirements for </w:t>
      </w:r>
      <w:r w:rsidRPr="003029C9">
        <w:t>foods</w:t>
      </w:r>
      <w:r>
        <w:t xml:space="preserve"> for sale</w:t>
      </w:r>
      <w:r w:rsidRPr="003029C9">
        <w:t xml:space="preserve"> </w:t>
      </w:r>
      <w:r>
        <w:t>that consist of</w:t>
      </w:r>
      <w:r w:rsidR="00A856F9">
        <w:t>,</w:t>
      </w:r>
      <w:r>
        <w:t xml:space="preserve"> or have as an ingredient, food that is a </w:t>
      </w:r>
      <w:r w:rsidRPr="00C34DBE">
        <w:rPr>
          <w:i/>
        </w:rPr>
        <w:t>genetically modified food</w:t>
      </w:r>
      <w:r>
        <w:t>.</w:t>
      </w:r>
      <w:r w:rsidRPr="003029C9">
        <w:t xml:space="preserve"> </w:t>
      </w:r>
      <w:r>
        <w:t xml:space="preserve">A </w:t>
      </w:r>
      <w:r w:rsidRPr="00B34599">
        <w:rPr>
          <w:i/>
        </w:rPr>
        <w:t>genetically modified food</w:t>
      </w:r>
      <w:r>
        <w:t xml:space="preserve"> is defined in subsection 1.5.2—4(5) as a </w:t>
      </w:r>
      <w:r w:rsidRPr="00FD1F1B">
        <w:rPr>
          <w:i/>
        </w:rPr>
        <w:t>food produced using gene technology</w:t>
      </w:r>
      <w:r>
        <w:t xml:space="preserve"> that contains novel DNA or novel protein or is listed in </w:t>
      </w:r>
      <w:r w:rsidR="00D73C9F">
        <w:t xml:space="preserve">Schedule </w:t>
      </w:r>
      <w:r>
        <w:t xml:space="preserve">S26—3. </w:t>
      </w:r>
      <w:r w:rsidRPr="002F2749">
        <w:t xml:space="preserve">The requirements imposed by section 1.5.2—4 generally apply only to foods for retail sale and to foods sold </w:t>
      </w:r>
      <w:r w:rsidRPr="00732467">
        <w:t>to</w:t>
      </w:r>
      <w:r w:rsidRPr="002F2749">
        <w:t xml:space="preserve"> a caterer under subsection 1.2.1—8(1) and section 1.2.1—15 respectively.</w:t>
      </w:r>
      <w:r w:rsidR="00BF77AA">
        <w:t xml:space="preserve"> The requirement to label food as ‘genetically modified’ does not apply to GM food intended for immediate consumption and which is prepared and sold </w:t>
      </w:r>
      <w:r w:rsidR="00BF77AA" w:rsidRPr="00090D27">
        <w:rPr>
          <w:i/>
        </w:rPr>
        <w:t>from</w:t>
      </w:r>
      <w:r w:rsidR="00BF77AA">
        <w:t xml:space="preserve"> food premises and vending vehicles, including restaurants, take away outlets, caterers, or self-catering institutions (paragraph 1.5.2—4(1)(e)).</w:t>
      </w:r>
    </w:p>
    <w:p w14:paraId="577894F9" w14:textId="2717C080" w:rsidR="004C6DC5" w:rsidRDefault="004C6DC5" w:rsidP="004C01F6">
      <w:pPr>
        <w:pStyle w:val="Heading3"/>
        <w:keepNext w:val="0"/>
        <w:widowControl/>
      </w:pPr>
      <w:bookmarkStart w:id="30" w:name="_Toc26284642"/>
      <w:bookmarkStart w:id="31" w:name="_Toc26980493"/>
      <w:r>
        <w:t>1.3.2</w:t>
      </w:r>
      <w:r>
        <w:tab/>
        <w:t>International Regulations</w:t>
      </w:r>
      <w:bookmarkEnd w:id="30"/>
      <w:bookmarkEnd w:id="31"/>
    </w:p>
    <w:p w14:paraId="4C376BD7" w14:textId="0C0B6AD6" w:rsidR="00AB4D05" w:rsidRDefault="00AB4D05" w:rsidP="004C01F6">
      <w:pPr>
        <w:pStyle w:val="Heading4"/>
        <w:keepNext w:val="0"/>
        <w:widowControl/>
        <w:rPr>
          <w:lang w:eastAsia="en-AU"/>
        </w:rPr>
      </w:pPr>
      <w:r>
        <w:rPr>
          <w:lang w:eastAsia="en-AU"/>
        </w:rPr>
        <w:t>1.3.2.</w:t>
      </w:r>
      <w:r w:rsidR="0092148D">
        <w:rPr>
          <w:lang w:eastAsia="en-AU"/>
        </w:rPr>
        <w:t>1</w:t>
      </w:r>
      <w:r>
        <w:rPr>
          <w:lang w:eastAsia="en-AU"/>
        </w:rPr>
        <w:tab/>
        <w:t>United States</w:t>
      </w:r>
    </w:p>
    <w:p w14:paraId="1E73BEC0" w14:textId="418C4F07" w:rsidR="00F14CE4" w:rsidRPr="001753D9" w:rsidRDefault="00D9430E" w:rsidP="004C01F6">
      <w:pPr>
        <w:widowControl/>
        <w:rPr>
          <w:rFonts w:cs="Arial"/>
          <w:szCs w:val="22"/>
          <w:lang w:eastAsia="en-AU" w:bidi="ar-SA"/>
        </w:rPr>
      </w:pPr>
      <w:r w:rsidRPr="001753D9">
        <w:rPr>
          <w:rFonts w:cs="Arial"/>
          <w:szCs w:val="22"/>
          <w:lang w:eastAsia="en-AU" w:bidi="ar-SA"/>
        </w:rPr>
        <w:t xml:space="preserve">Impossible Foods </w:t>
      </w:r>
      <w:r w:rsidR="00F14CE4" w:rsidRPr="00496599">
        <w:rPr>
          <w:rFonts w:cs="Arial"/>
          <w:szCs w:val="22"/>
          <w:lang w:eastAsia="en-AU" w:bidi="ar-SA"/>
        </w:rPr>
        <w:t xml:space="preserve">obtained </w:t>
      </w:r>
      <w:r w:rsidR="00496599" w:rsidRPr="00496599">
        <w:rPr>
          <w:rFonts w:cs="Arial"/>
          <w:szCs w:val="22"/>
          <w:lang w:eastAsia="en-AU" w:bidi="ar-SA"/>
        </w:rPr>
        <w:t>self-</w:t>
      </w:r>
      <w:r w:rsidR="00A856F9">
        <w:rPr>
          <w:rFonts w:cs="Arial"/>
          <w:szCs w:val="22"/>
          <w:lang w:eastAsia="en-AU" w:bidi="ar-SA"/>
        </w:rPr>
        <w:t>affirmed</w:t>
      </w:r>
      <w:r w:rsidR="00A856F9" w:rsidRPr="00496599">
        <w:rPr>
          <w:rFonts w:cs="Arial"/>
          <w:szCs w:val="22"/>
          <w:lang w:eastAsia="en-AU" w:bidi="ar-SA"/>
        </w:rPr>
        <w:t xml:space="preserve"> </w:t>
      </w:r>
      <w:r w:rsidR="0030392F" w:rsidRPr="00496599">
        <w:rPr>
          <w:rFonts w:cs="Arial"/>
          <w:szCs w:val="22"/>
          <w:lang w:eastAsia="en-AU" w:bidi="ar-SA"/>
        </w:rPr>
        <w:t xml:space="preserve">FDA </w:t>
      </w:r>
      <w:r w:rsidR="00F14CE4" w:rsidRPr="00496599">
        <w:rPr>
          <w:rFonts w:cs="Arial"/>
          <w:szCs w:val="22"/>
          <w:lang w:eastAsia="en-AU" w:bidi="ar-SA"/>
        </w:rPr>
        <w:t xml:space="preserve">GRAS status </w:t>
      </w:r>
      <w:r>
        <w:rPr>
          <w:lang w:eastAsia="en-AU" w:bidi="ar-SA"/>
        </w:rPr>
        <w:t xml:space="preserve">(GRN 737) </w:t>
      </w:r>
      <w:r w:rsidR="00496599">
        <w:rPr>
          <w:rFonts w:cs="Arial"/>
          <w:szCs w:val="22"/>
          <w:lang w:eastAsia="en-AU" w:bidi="ar-SA"/>
        </w:rPr>
        <w:t xml:space="preserve">in July 2018 </w:t>
      </w:r>
      <w:r w:rsidR="00F14CE4" w:rsidRPr="00496599">
        <w:rPr>
          <w:rFonts w:cs="Arial"/>
          <w:szCs w:val="22"/>
          <w:lang w:eastAsia="en-AU" w:bidi="ar-SA"/>
        </w:rPr>
        <w:t xml:space="preserve">to use soy leghemoglobin </w:t>
      </w:r>
      <w:r w:rsidRPr="00496599">
        <w:rPr>
          <w:rFonts w:cs="Arial"/>
          <w:szCs w:val="22"/>
          <w:lang w:eastAsia="en-AU" w:bidi="ar-SA"/>
        </w:rPr>
        <w:t xml:space="preserve">at levels up to 0.8% </w:t>
      </w:r>
      <w:r w:rsidR="0030392F" w:rsidRPr="00496599">
        <w:rPr>
          <w:rFonts w:cs="Arial"/>
          <w:szCs w:val="22"/>
          <w:lang w:eastAsia="en-AU" w:bidi="ar-SA"/>
        </w:rPr>
        <w:t xml:space="preserve">in </w:t>
      </w:r>
      <w:r w:rsidR="00312B94">
        <w:rPr>
          <w:rFonts w:cs="Arial"/>
          <w:szCs w:val="22"/>
          <w:lang w:eastAsia="en-AU" w:bidi="ar-SA"/>
        </w:rPr>
        <w:t>its</w:t>
      </w:r>
      <w:r w:rsidR="0030392F" w:rsidRPr="00496599">
        <w:rPr>
          <w:rFonts w:cs="Arial"/>
          <w:szCs w:val="22"/>
          <w:lang w:eastAsia="en-AU" w:bidi="ar-SA"/>
        </w:rPr>
        <w:t xml:space="preserve"> </w:t>
      </w:r>
      <w:r>
        <w:rPr>
          <w:rFonts w:cs="Arial"/>
          <w:szCs w:val="22"/>
          <w:lang w:eastAsia="en-AU" w:bidi="ar-SA"/>
        </w:rPr>
        <w:t>raw</w:t>
      </w:r>
      <w:r w:rsidR="0030392F" w:rsidRPr="00496599">
        <w:rPr>
          <w:rFonts w:cs="Arial"/>
          <w:szCs w:val="22"/>
          <w:lang w:eastAsia="en-AU" w:bidi="ar-SA"/>
        </w:rPr>
        <w:t xml:space="preserve"> </w:t>
      </w:r>
      <w:r w:rsidR="00496599" w:rsidRPr="00496599">
        <w:rPr>
          <w:rFonts w:cs="Arial"/>
          <w:szCs w:val="22"/>
          <w:lang w:eastAsia="en-AU" w:bidi="ar-SA"/>
        </w:rPr>
        <w:t>ground</w:t>
      </w:r>
      <w:r w:rsidR="00B40D9C">
        <w:rPr>
          <w:rFonts w:cs="Arial"/>
          <w:szCs w:val="22"/>
          <w:lang w:eastAsia="en-AU" w:bidi="ar-SA"/>
        </w:rPr>
        <w:t xml:space="preserve"> (minced)</w:t>
      </w:r>
      <w:r w:rsidR="00496599" w:rsidRPr="00496599">
        <w:rPr>
          <w:rFonts w:cs="Arial"/>
          <w:szCs w:val="22"/>
          <w:lang w:eastAsia="en-AU" w:bidi="ar-SA"/>
        </w:rPr>
        <w:t xml:space="preserve"> beef</w:t>
      </w:r>
      <w:r w:rsidR="0030392F" w:rsidRPr="00496599">
        <w:rPr>
          <w:rFonts w:cs="Arial"/>
          <w:szCs w:val="22"/>
          <w:lang w:eastAsia="en-AU" w:bidi="ar-SA"/>
        </w:rPr>
        <w:t xml:space="preserve"> analogue products </w:t>
      </w:r>
      <w:r w:rsidR="00496599" w:rsidRPr="00496599">
        <w:rPr>
          <w:rFonts w:cs="Arial"/>
          <w:szCs w:val="22"/>
          <w:lang w:eastAsia="en-AU" w:bidi="ar-SA"/>
        </w:rPr>
        <w:t xml:space="preserve">as a </w:t>
      </w:r>
      <w:r w:rsidR="00496599" w:rsidRPr="00275118">
        <w:rPr>
          <w:rFonts w:cs="Arial"/>
          <w:color w:val="000000"/>
          <w:szCs w:val="22"/>
        </w:rPr>
        <w:t>flavour optimiser</w:t>
      </w:r>
      <w:r w:rsidR="0030392F" w:rsidRPr="00496599">
        <w:rPr>
          <w:rFonts w:cs="Arial"/>
          <w:szCs w:val="22"/>
          <w:lang w:eastAsia="en-AU" w:bidi="ar-SA"/>
        </w:rPr>
        <w:t>.</w:t>
      </w:r>
      <w:r w:rsidR="0030392F" w:rsidRPr="001753D9">
        <w:rPr>
          <w:rFonts w:cs="Arial"/>
          <w:szCs w:val="22"/>
          <w:lang w:eastAsia="en-AU" w:bidi="ar-SA"/>
        </w:rPr>
        <w:t xml:space="preserve"> In addition, </w:t>
      </w:r>
      <w:r>
        <w:rPr>
          <w:rFonts w:cs="Arial"/>
          <w:szCs w:val="22"/>
          <w:lang w:eastAsia="en-AU" w:bidi="ar-SA"/>
        </w:rPr>
        <w:t>t</w:t>
      </w:r>
      <w:r w:rsidRPr="001753D9">
        <w:rPr>
          <w:rFonts w:cs="Arial"/>
          <w:szCs w:val="22"/>
          <w:lang w:eastAsia="en-AU" w:bidi="ar-SA"/>
        </w:rPr>
        <w:t xml:space="preserve">he </w:t>
      </w:r>
      <w:r w:rsidR="00692837">
        <w:rPr>
          <w:rFonts w:cs="Arial"/>
          <w:szCs w:val="22"/>
          <w:lang w:eastAsia="en-AU" w:bidi="ar-SA"/>
        </w:rPr>
        <w:t>applicant</w:t>
      </w:r>
      <w:r w:rsidRPr="001753D9">
        <w:rPr>
          <w:rFonts w:cs="Arial"/>
          <w:szCs w:val="22"/>
          <w:lang w:eastAsia="en-AU" w:bidi="ar-SA"/>
        </w:rPr>
        <w:t xml:space="preserve"> </w:t>
      </w:r>
      <w:r w:rsidR="0030392F" w:rsidRPr="001753D9">
        <w:rPr>
          <w:rFonts w:cs="Arial"/>
          <w:szCs w:val="22"/>
          <w:lang w:eastAsia="en-AU" w:bidi="ar-SA"/>
        </w:rPr>
        <w:t>lodged a colour additive petition to the FDA</w:t>
      </w:r>
      <w:r w:rsidR="00496599">
        <w:rPr>
          <w:rFonts w:cs="Arial"/>
          <w:szCs w:val="22"/>
          <w:lang w:eastAsia="en-AU" w:bidi="ar-SA"/>
        </w:rPr>
        <w:t xml:space="preserve"> in </w:t>
      </w:r>
      <w:r w:rsidR="0030392F" w:rsidRPr="001753D9">
        <w:rPr>
          <w:rFonts w:cs="Arial"/>
          <w:szCs w:val="22"/>
          <w:lang w:eastAsia="en-AU" w:bidi="ar-SA"/>
        </w:rPr>
        <w:t>November 2018</w:t>
      </w:r>
      <w:r w:rsidR="001753D9" w:rsidRPr="001753D9">
        <w:rPr>
          <w:rFonts w:cs="Arial"/>
          <w:szCs w:val="22"/>
          <w:lang w:eastAsia="en-AU" w:bidi="ar-SA"/>
        </w:rPr>
        <w:t xml:space="preserve"> to </w:t>
      </w:r>
      <w:r w:rsidR="001753D9" w:rsidRPr="00275118">
        <w:rPr>
          <w:rFonts w:cs="Arial"/>
          <w:color w:val="000000"/>
          <w:szCs w:val="22"/>
        </w:rPr>
        <w:t>amend the colo</w:t>
      </w:r>
      <w:r w:rsidR="00275118">
        <w:rPr>
          <w:rFonts w:cs="Arial"/>
          <w:color w:val="000000"/>
          <w:szCs w:val="22"/>
        </w:rPr>
        <w:t>u</w:t>
      </w:r>
      <w:r w:rsidR="001753D9" w:rsidRPr="00275118">
        <w:rPr>
          <w:rFonts w:cs="Arial"/>
          <w:color w:val="000000"/>
          <w:szCs w:val="22"/>
        </w:rPr>
        <w:t xml:space="preserve">r additive regulations in 21 CFR part 73, </w:t>
      </w:r>
      <w:r w:rsidR="00B40D9C">
        <w:rPr>
          <w:rFonts w:cs="Arial"/>
          <w:color w:val="000000"/>
          <w:szCs w:val="22"/>
        </w:rPr>
        <w:t>‘</w:t>
      </w:r>
      <w:r w:rsidR="001753D9" w:rsidRPr="00275118">
        <w:rPr>
          <w:rFonts w:cs="Arial"/>
          <w:color w:val="000000"/>
          <w:szCs w:val="22"/>
        </w:rPr>
        <w:t>Listing of Color Addi</w:t>
      </w:r>
      <w:r w:rsidR="00B40D9C">
        <w:rPr>
          <w:rFonts w:cs="Arial"/>
          <w:color w:val="000000"/>
          <w:szCs w:val="22"/>
        </w:rPr>
        <w:t>tives Exempt from Certification’</w:t>
      </w:r>
      <w:r w:rsidR="001753D9" w:rsidRPr="001753D9">
        <w:rPr>
          <w:rFonts w:cs="Arial"/>
          <w:szCs w:val="22"/>
          <w:lang w:eastAsia="en-AU" w:bidi="ar-SA"/>
        </w:rPr>
        <w:t xml:space="preserve">. </w:t>
      </w:r>
      <w:r>
        <w:rPr>
          <w:rFonts w:cs="Arial"/>
          <w:szCs w:val="22"/>
          <w:lang w:eastAsia="en-AU" w:bidi="ar-SA"/>
        </w:rPr>
        <w:t>As shown on</w:t>
      </w:r>
      <w:r w:rsidR="001753D9" w:rsidRPr="001753D9">
        <w:rPr>
          <w:rFonts w:cs="Arial"/>
          <w:szCs w:val="22"/>
          <w:lang w:eastAsia="en-AU" w:bidi="ar-SA"/>
        </w:rPr>
        <w:t xml:space="preserve"> the FDA website</w:t>
      </w:r>
      <w:r w:rsidR="001753D9">
        <w:rPr>
          <w:rStyle w:val="FootnoteReference"/>
          <w:rFonts w:cs="Arial"/>
          <w:szCs w:val="22"/>
          <w:lang w:eastAsia="en-AU" w:bidi="ar-SA"/>
        </w:rPr>
        <w:footnoteReference w:id="5"/>
      </w:r>
      <w:r w:rsidR="001753D9" w:rsidRPr="001753D9">
        <w:rPr>
          <w:rFonts w:cs="Arial"/>
          <w:szCs w:val="22"/>
          <w:lang w:eastAsia="en-AU" w:bidi="ar-SA"/>
        </w:rPr>
        <w:t xml:space="preserve">, this rule </w:t>
      </w:r>
      <w:r w:rsidR="00A856F9">
        <w:rPr>
          <w:rFonts w:cs="Arial"/>
          <w:szCs w:val="22"/>
          <w:lang w:eastAsia="en-AU" w:bidi="ar-SA"/>
        </w:rPr>
        <w:t>came into</w:t>
      </w:r>
      <w:r w:rsidR="00A856F9" w:rsidRPr="001753D9">
        <w:rPr>
          <w:rFonts w:cs="Arial"/>
          <w:szCs w:val="22"/>
          <w:lang w:eastAsia="en-AU" w:bidi="ar-SA"/>
        </w:rPr>
        <w:t xml:space="preserve"> </w:t>
      </w:r>
      <w:r w:rsidR="001753D9" w:rsidRPr="001753D9">
        <w:rPr>
          <w:rFonts w:cs="Arial"/>
          <w:szCs w:val="22"/>
          <w:lang w:eastAsia="en-AU" w:bidi="ar-SA"/>
        </w:rPr>
        <w:t xml:space="preserve">effect </w:t>
      </w:r>
      <w:r>
        <w:rPr>
          <w:rFonts w:cs="Arial"/>
          <w:szCs w:val="22"/>
          <w:lang w:eastAsia="en-AU" w:bidi="ar-SA"/>
        </w:rPr>
        <w:t>from</w:t>
      </w:r>
      <w:r w:rsidR="001753D9" w:rsidRPr="001753D9">
        <w:rPr>
          <w:rFonts w:cs="Arial"/>
          <w:szCs w:val="22"/>
          <w:lang w:eastAsia="en-AU" w:bidi="ar-SA"/>
        </w:rPr>
        <w:t xml:space="preserve"> 4 September 2019. </w:t>
      </w:r>
    </w:p>
    <w:p w14:paraId="7C25BA6A" w14:textId="35D63A35" w:rsidR="00AB4D05" w:rsidRDefault="00AB4D05" w:rsidP="004C01F6">
      <w:pPr>
        <w:pStyle w:val="Heading4"/>
        <w:keepNext w:val="0"/>
        <w:widowControl/>
      </w:pPr>
      <w:r>
        <w:t>1.3.2.</w:t>
      </w:r>
      <w:r w:rsidR="00B35235">
        <w:t>2</w:t>
      </w:r>
      <w:r>
        <w:tab/>
        <w:t>Singapore</w:t>
      </w:r>
    </w:p>
    <w:p w14:paraId="22D25234" w14:textId="7C566DFF" w:rsidR="00275118" w:rsidRPr="00275118" w:rsidRDefault="00DF1500" w:rsidP="004C01F6">
      <w:pPr>
        <w:widowControl/>
        <w:rPr>
          <w:lang w:bidi="ar-SA"/>
        </w:rPr>
      </w:pPr>
      <w:r>
        <w:rPr>
          <w:lang w:bidi="ar-SA"/>
        </w:rPr>
        <w:t xml:space="preserve">The Agri-Food and Veterinary Authority (now the Singapore Food Agency) </w:t>
      </w:r>
      <w:r w:rsidR="00312B94">
        <w:rPr>
          <w:lang w:bidi="ar-SA"/>
        </w:rPr>
        <w:t xml:space="preserve">in August 2018 </w:t>
      </w:r>
      <w:r w:rsidR="00275118">
        <w:rPr>
          <w:lang w:bidi="ar-SA"/>
        </w:rPr>
        <w:t xml:space="preserve">permitted </w:t>
      </w:r>
      <w:r w:rsidR="00312B94">
        <w:rPr>
          <w:lang w:bidi="ar-SA"/>
        </w:rPr>
        <w:t xml:space="preserve">the </w:t>
      </w:r>
      <w:r w:rsidR="00692837">
        <w:rPr>
          <w:lang w:bidi="ar-SA"/>
        </w:rPr>
        <w:t>applicant</w:t>
      </w:r>
      <w:r w:rsidR="00312B94">
        <w:rPr>
          <w:lang w:bidi="ar-SA"/>
        </w:rPr>
        <w:t xml:space="preserve">’s soy leghemoglobin </w:t>
      </w:r>
      <w:r>
        <w:rPr>
          <w:lang w:bidi="ar-SA"/>
        </w:rPr>
        <w:t>as a food additive or ingredient in</w:t>
      </w:r>
      <w:r w:rsidR="00275118">
        <w:rPr>
          <w:lang w:bidi="ar-SA"/>
        </w:rPr>
        <w:t xml:space="preserve"> </w:t>
      </w:r>
      <w:r>
        <w:rPr>
          <w:lang w:bidi="ar-SA"/>
        </w:rPr>
        <w:t xml:space="preserve">‘plant-based </w:t>
      </w:r>
      <w:r w:rsidR="00275118">
        <w:rPr>
          <w:lang w:bidi="ar-SA"/>
        </w:rPr>
        <w:t>meat analogue</w:t>
      </w:r>
      <w:r>
        <w:rPr>
          <w:lang w:bidi="ar-SA"/>
        </w:rPr>
        <w:t xml:space="preserve">s’ at levels up to </w:t>
      </w:r>
      <w:r w:rsidR="00B40D9C">
        <w:rPr>
          <w:lang w:bidi="ar-SA"/>
        </w:rPr>
        <w:t>0.45% (w/w)</w:t>
      </w:r>
      <w:r>
        <w:rPr>
          <w:lang w:bidi="ar-SA"/>
        </w:rPr>
        <w:t>.</w:t>
      </w:r>
      <w:r w:rsidR="00CA3F88">
        <w:rPr>
          <w:lang w:bidi="ar-SA"/>
        </w:rPr>
        <w:t xml:space="preserve"> The </w:t>
      </w:r>
      <w:r w:rsidR="00692837">
        <w:rPr>
          <w:lang w:bidi="ar-SA"/>
        </w:rPr>
        <w:t>applicant</w:t>
      </w:r>
      <w:r w:rsidR="00312B94">
        <w:rPr>
          <w:lang w:bidi="ar-SA"/>
        </w:rPr>
        <w:t xml:space="preserve"> </w:t>
      </w:r>
      <w:r w:rsidR="00CA3F88">
        <w:rPr>
          <w:lang w:bidi="ar-SA"/>
        </w:rPr>
        <w:t>provided documented permissions for soy leghemoglobin in Singapore as part of the Application</w:t>
      </w:r>
      <w:r w:rsidR="001263A5">
        <w:rPr>
          <w:lang w:bidi="ar-SA"/>
        </w:rPr>
        <w:t xml:space="preserve"> (SFA, 2019)</w:t>
      </w:r>
      <w:r w:rsidR="00CA3F88">
        <w:rPr>
          <w:lang w:bidi="ar-SA"/>
        </w:rPr>
        <w:t>.</w:t>
      </w:r>
      <w:r w:rsidR="00271F9C">
        <w:rPr>
          <w:lang w:bidi="ar-SA"/>
        </w:rPr>
        <w:t xml:space="preserve"> FSANZ are following up with the Singapore Food Agency to better understand the rationale behind permitting lower levels of soy leghemoglobin.</w:t>
      </w:r>
    </w:p>
    <w:p w14:paraId="693E00CD" w14:textId="7085DED3" w:rsidR="00AB4D05" w:rsidRDefault="00AB4D05" w:rsidP="004C01F6">
      <w:pPr>
        <w:pStyle w:val="Heading4"/>
        <w:keepNext w:val="0"/>
        <w:widowControl/>
      </w:pPr>
      <w:r>
        <w:t>1.3.2.</w:t>
      </w:r>
      <w:r w:rsidR="00B35235">
        <w:t>3</w:t>
      </w:r>
      <w:r>
        <w:tab/>
        <w:t>Hong Kong</w:t>
      </w:r>
      <w:r w:rsidR="00731EDD">
        <w:t xml:space="preserve"> and Macao</w:t>
      </w:r>
    </w:p>
    <w:p w14:paraId="3656E4E9" w14:textId="3544AC46" w:rsidR="00AB4D05" w:rsidRPr="00275118" w:rsidRDefault="00C33297" w:rsidP="004C01F6">
      <w:pPr>
        <w:widowControl/>
        <w:rPr>
          <w:lang w:eastAsia="en-AU" w:bidi="ar-SA"/>
        </w:rPr>
      </w:pPr>
      <w:r>
        <w:rPr>
          <w:lang w:eastAsia="en-AU" w:bidi="ar-SA"/>
        </w:rPr>
        <w:t xml:space="preserve">The </w:t>
      </w:r>
      <w:r w:rsidR="00692837">
        <w:rPr>
          <w:lang w:eastAsia="en-AU" w:bidi="ar-SA"/>
        </w:rPr>
        <w:t>applicant</w:t>
      </w:r>
      <w:r>
        <w:rPr>
          <w:lang w:eastAsia="en-AU" w:bidi="ar-SA"/>
        </w:rPr>
        <w:t xml:space="preserve"> </w:t>
      </w:r>
      <w:r w:rsidR="00E0705E">
        <w:rPr>
          <w:lang w:eastAsia="en-AU" w:bidi="ar-SA"/>
        </w:rPr>
        <w:t xml:space="preserve">indicated that soy leghemoglobin was </w:t>
      </w:r>
      <w:r w:rsidR="00D9430E">
        <w:rPr>
          <w:lang w:eastAsia="en-AU" w:bidi="ar-SA"/>
        </w:rPr>
        <w:t xml:space="preserve">respectively </w:t>
      </w:r>
      <w:r w:rsidR="00E0705E">
        <w:rPr>
          <w:lang w:eastAsia="en-AU" w:bidi="ar-SA"/>
        </w:rPr>
        <w:t xml:space="preserve">permitted </w:t>
      </w:r>
      <w:r w:rsidR="00D9430E">
        <w:rPr>
          <w:lang w:eastAsia="en-AU" w:bidi="ar-SA"/>
        </w:rPr>
        <w:t xml:space="preserve">in Hong Kong and Macao </w:t>
      </w:r>
      <w:r w:rsidR="00E0705E">
        <w:rPr>
          <w:lang w:eastAsia="en-AU" w:bidi="ar-SA"/>
        </w:rPr>
        <w:t xml:space="preserve">as a result of approvals in the US and Singapore. </w:t>
      </w:r>
      <w:r w:rsidR="00305F79">
        <w:rPr>
          <w:lang w:eastAsia="en-AU" w:bidi="ar-SA"/>
        </w:rPr>
        <w:t xml:space="preserve">The </w:t>
      </w:r>
      <w:r w:rsidR="00692837">
        <w:rPr>
          <w:lang w:eastAsia="en-AU" w:bidi="ar-SA"/>
        </w:rPr>
        <w:t>applicant</w:t>
      </w:r>
      <w:r w:rsidR="00305F79">
        <w:rPr>
          <w:lang w:eastAsia="en-AU" w:bidi="ar-SA"/>
        </w:rPr>
        <w:t xml:space="preserve"> provided information that</w:t>
      </w:r>
      <w:r w:rsidR="00305F79" w:rsidDel="00353150">
        <w:rPr>
          <w:lang w:eastAsia="en-AU" w:bidi="ar-SA"/>
        </w:rPr>
        <w:t xml:space="preserve"> </w:t>
      </w:r>
      <w:r w:rsidR="00305F79">
        <w:rPr>
          <w:lang w:eastAsia="en-AU" w:bidi="ar-SA"/>
        </w:rPr>
        <w:t xml:space="preserve">no regulatory provisions apply specifically to GM foods </w:t>
      </w:r>
      <w:r w:rsidR="00353150">
        <w:rPr>
          <w:lang w:eastAsia="en-AU" w:bidi="ar-SA"/>
        </w:rPr>
        <w:t xml:space="preserve">in Hong Kong </w:t>
      </w:r>
      <w:r w:rsidR="00305F79">
        <w:rPr>
          <w:lang w:eastAsia="en-AU" w:bidi="ar-SA"/>
        </w:rPr>
        <w:t xml:space="preserve">and </w:t>
      </w:r>
      <w:r w:rsidR="00544FA7">
        <w:rPr>
          <w:lang w:eastAsia="en-AU" w:bidi="ar-SA"/>
        </w:rPr>
        <w:t>such foods</w:t>
      </w:r>
      <w:r w:rsidR="00305F79">
        <w:rPr>
          <w:lang w:eastAsia="en-AU" w:bidi="ar-SA"/>
        </w:rPr>
        <w:t xml:space="preserve"> are not distinguished from non-GM foods. </w:t>
      </w:r>
      <w:r w:rsidR="005C67CC">
        <w:rPr>
          <w:lang w:eastAsia="en-AU" w:bidi="ar-SA"/>
        </w:rPr>
        <w:t xml:space="preserve">The </w:t>
      </w:r>
      <w:r w:rsidR="00692837">
        <w:rPr>
          <w:lang w:eastAsia="en-AU" w:bidi="ar-SA"/>
        </w:rPr>
        <w:t>applicant</w:t>
      </w:r>
      <w:r w:rsidR="005C67CC">
        <w:rPr>
          <w:lang w:eastAsia="en-AU" w:bidi="ar-SA"/>
        </w:rPr>
        <w:t xml:space="preserve"> also indicated that the Hong Kong </w:t>
      </w:r>
      <w:r w:rsidR="00280A87">
        <w:rPr>
          <w:lang w:eastAsia="en-AU" w:bidi="ar-SA"/>
        </w:rPr>
        <w:t>Centre</w:t>
      </w:r>
      <w:r w:rsidR="005C67CC">
        <w:rPr>
          <w:lang w:eastAsia="en-AU" w:bidi="ar-SA"/>
        </w:rPr>
        <w:t xml:space="preserve"> for Food Safety </w:t>
      </w:r>
      <w:r w:rsidR="00544FA7">
        <w:rPr>
          <w:lang w:eastAsia="en-AU" w:bidi="ar-SA"/>
        </w:rPr>
        <w:t>takes</w:t>
      </w:r>
      <w:r w:rsidR="00B40D9C">
        <w:rPr>
          <w:lang w:eastAsia="en-AU" w:bidi="ar-SA"/>
        </w:rPr>
        <w:t xml:space="preserve"> into</w:t>
      </w:r>
      <w:r w:rsidR="00544FA7">
        <w:rPr>
          <w:lang w:eastAsia="en-AU" w:bidi="ar-SA"/>
        </w:rPr>
        <w:t xml:space="preserve"> account </w:t>
      </w:r>
      <w:r w:rsidR="005C67CC">
        <w:rPr>
          <w:lang w:eastAsia="en-AU" w:bidi="ar-SA"/>
        </w:rPr>
        <w:t xml:space="preserve">whether </w:t>
      </w:r>
      <w:r w:rsidR="00B40D9C">
        <w:rPr>
          <w:lang w:eastAsia="en-AU" w:bidi="ar-SA"/>
        </w:rPr>
        <w:t xml:space="preserve">or not </w:t>
      </w:r>
      <w:r w:rsidR="005C67CC">
        <w:rPr>
          <w:lang w:eastAsia="en-AU" w:bidi="ar-SA"/>
        </w:rPr>
        <w:t xml:space="preserve">a safety evaluation has been conducted by international food safety authorities.  </w:t>
      </w:r>
    </w:p>
    <w:p w14:paraId="40DB8E50" w14:textId="150CCD3F" w:rsidR="005C67CC" w:rsidRDefault="005C67CC" w:rsidP="004C01F6">
      <w:pPr>
        <w:widowControl/>
        <w:rPr>
          <w:lang w:eastAsia="en-AU" w:bidi="ar-SA"/>
        </w:rPr>
      </w:pPr>
    </w:p>
    <w:p w14:paraId="2E74342D" w14:textId="29348A97" w:rsidR="00AB4D05" w:rsidRDefault="005C67CC" w:rsidP="004C01F6">
      <w:pPr>
        <w:widowControl/>
        <w:rPr>
          <w:lang w:eastAsia="en-AU" w:bidi="ar-SA"/>
        </w:rPr>
      </w:pPr>
      <w:r>
        <w:rPr>
          <w:lang w:eastAsia="en-AU" w:bidi="ar-SA"/>
        </w:rPr>
        <w:t xml:space="preserve">The </w:t>
      </w:r>
      <w:r w:rsidR="00692837">
        <w:rPr>
          <w:lang w:eastAsia="en-AU" w:bidi="ar-SA"/>
        </w:rPr>
        <w:t>applicant</w:t>
      </w:r>
      <w:r w:rsidR="00CA3F88">
        <w:rPr>
          <w:lang w:eastAsia="en-AU" w:bidi="ar-SA"/>
        </w:rPr>
        <w:t xml:space="preserve"> highlighted that</w:t>
      </w:r>
      <w:r>
        <w:rPr>
          <w:lang w:eastAsia="en-AU" w:bidi="ar-SA"/>
        </w:rPr>
        <w:t xml:space="preserve"> </w:t>
      </w:r>
      <w:r w:rsidR="00CA3F88">
        <w:rPr>
          <w:lang w:eastAsia="en-AU" w:bidi="ar-SA"/>
        </w:rPr>
        <w:t xml:space="preserve">most international imports, other than </w:t>
      </w:r>
      <w:r w:rsidR="00544FA7">
        <w:rPr>
          <w:lang w:eastAsia="en-AU" w:bidi="ar-SA"/>
        </w:rPr>
        <w:t xml:space="preserve">those </w:t>
      </w:r>
      <w:r w:rsidR="00CA3F88">
        <w:rPr>
          <w:lang w:eastAsia="en-AU" w:bidi="ar-SA"/>
        </w:rPr>
        <w:t>from China, are transhipped to Mac</w:t>
      </w:r>
      <w:r w:rsidR="004D1468">
        <w:rPr>
          <w:lang w:eastAsia="en-AU" w:bidi="ar-SA"/>
        </w:rPr>
        <w:t>ao</w:t>
      </w:r>
      <w:r w:rsidR="00CA3F88">
        <w:rPr>
          <w:lang w:eastAsia="en-AU" w:bidi="ar-SA"/>
        </w:rPr>
        <w:t xml:space="preserve"> via Hong Kong. Therefore</w:t>
      </w:r>
      <w:r>
        <w:rPr>
          <w:lang w:eastAsia="en-AU" w:bidi="ar-SA"/>
        </w:rPr>
        <w:t xml:space="preserve"> food products that comply with H</w:t>
      </w:r>
      <w:r w:rsidR="00CA3F88">
        <w:rPr>
          <w:lang w:eastAsia="en-AU" w:bidi="ar-SA"/>
        </w:rPr>
        <w:t>o</w:t>
      </w:r>
      <w:r w:rsidR="004D1468">
        <w:rPr>
          <w:lang w:eastAsia="en-AU" w:bidi="ar-SA"/>
        </w:rPr>
        <w:t>ng</w:t>
      </w:r>
      <w:r>
        <w:rPr>
          <w:lang w:eastAsia="en-AU" w:bidi="ar-SA"/>
        </w:rPr>
        <w:t xml:space="preserve"> Kong’s food regulations can </w:t>
      </w:r>
      <w:r w:rsidR="00CA3F88">
        <w:rPr>
          <w:lang w:eastAsia="en-AU" w:bidi="ar-SA"/>
        </w:rPr>
        <w:t xml:space="preserve">generally </w:t>
      </w:r>
      <w:r>
        <w:rPr>
          <w:lang w:eastAsia="en-AU" w:bidi="ar-SA"/>
        </w:rPr>
        <w:t>be marketed in Macao.</w:t>
      </w:r>
    </w:p>
    <w:p w14:paraId="0987FB87" w14:textId="259EDDC2" w:rsidR="00280A87" w:rsidRDefault="00280A87" w:rsidP="004C01F6">
      <w:pPr>
        <w:pStyle w:val="Heading4"/>
        <w:keepNext w:val="0"/>
        <w:widowControl/>
        <w:rPr>
          <w:lang w:eastAsia="en-AU"/>
        </w:rPr>
      </w:pPr>
      <w:r>
        <w:rPr>
          <w:lang w:eastAsia="en-AU"/>
        </w:rPr>
        <w:t>1.3.2.</w:t>
      </w:r>
      <w:r w:rsidR="00B35235">
        <w:rPr>
          <w:lang w:eastAsia="en-AU"/>
        </w:rPr>
        <w:t>4</w:t>
      </w:r>
      <w:r>
        <w:rPr>
          <w:lang w:eastAsia="en-AU"/>
        </w:rPr>
        <w:tab/>
        <w:t>European Union</w:t>
      </w:r>
    </w:p>
    <w:p w14:paraId="54F1CC5C" w14:textId="4FA7E346" w:rsidR="00280A87" w:rsidRDefault="00280A87" w:rsidP="004C01F6">
      <w:pPr>
        <w:widowControl/>
        <w:rPr>
          <w:lang w:eastAsia="en-AU" w:bidi="ar-SA"/>
        </w:rPr>
      </w:pPr>
      <w:r>
        <w:rPr>
          <w:lang w:eastAsia="en-AU" w:bidi="ar-SA"/>
        </w:rPr>
        <w:t xml:space="preserve">Impossible Foods lodged a request </w:t>
      </w:r>
      <w:r w:rsidR="00544FA7">
        <w:rPr>
          <w:lang w:eastAsia="en-AU" w:bidi="ar-SA"/>
        </w:rPr>
        <w:t xml:space="preserve">in October 2019 </w:t>
      </w:r>
      <w:r w:rsidR="005F4923">
        <w:rPr>
          <w:lang w:eastAsia="en-AU" w:bidi="ar-SA"/>
        </w:rPr>
        <w:t>to</w:t>
      </w:r>
      <w:r w:rsidR="005F4923" w:rsidRPr="005F4923">
        <w:rPr>
          <w:lang w:eastAsia="en-AU" w:bidi="ar-SA"/>
        </w:rPr>
        <w:t xml:space="preserve"> market </w:t>
      </w:r>
      <w:r w:rsidR="003B006B">
        <w:rPr>
          <w:lang w:eastAsia="en-AU" w:bidi="ar-SA"/>
        </w:rPr>
        <w:t>s</w:t>
      </w:r>
      <w:r w:rsidR="005F4923" w:rsidRPr="005F4923">
        <w:rPr>
          <w:lang w:eastAsia="en-AU" w:bidi="ar-SA"/>
        </w:rPr>
        <w:t xml:space="preserve">oy </w:t>
      </w:r>
      <w:r w:rsidR="003B006B">
        <w:rPr>
          <w:lang w:eastAsia="en-AU" w:bidi="ar-SA"/>
        </w:rPr>
        <w:t>l</w:t>
      </w:r>
      <w:r w:rsidR="005F4923" w:rsidRPr="005F4923">
        <w:rPr>
          <w:lang w:eastAsia="en-AU" w:bidi="ar-SA"/>
        </w:rPr>
        <w:t xml:space="preserve">eghemoglobin produced from genetically modified </w:t>
      </w:r>
      <w:r w:rsidR="005F4923" w:rsidRPr="005F4923">
        <w:rPr>
          <w:i/>
          <w:lang w:eastAsia="en-AU" w:bidi="ar-SA"/>
        </w:rPr>
        <w:t>Pichia pastoris</w:t>
      </w:r>
      <w:r w:rsidR="005F4923" w:rsidRPr="005F4923">
        <w:rPr>
          <w:lang w:eastAsia="en-AU" w:bidi="ar-SA"/>
        </w:rPr>
        <w:t xml:space="preserve"> </w:t>
      </w:r>
      <w:r w:rsidR="005F4923">
        <w:rPr>
          <w:lang w:eastAsia="en-AU" w:bidi="ar-SA"/>
        </w:rPr>
        <w:t xml:space="preserve">with </w:t>
      </w:r>
      <w:r>
        <w:rPr>
          <w:lang w:eastAsia="en-AU" w:bidi="ar-SA"/>
        </w:rPr>
        <w:t xml:space="preserve">the European </w:t>
      </w:r>
      <w:r w:rsidR="008B10A5">
        <w:rPr>
          <w:lang w:eastAsia="en-AU" w:bidi="ar-SA"/>
        </w:rPr>
        <w:t>Food Safety Authority</w:t>
      </w:r>
      <w:r w:rsidR="00540C53">
        <w:rPr>
          <w:lang w:eastAsia="en-AU" w:bidi="ar-SA"/>
        </w:rPr>
        <w:t xml:space="preserve"> (EFSA)</w:t>
      </w:r>
      <w:r>
        <w:rPr>
          <w:rStyle w:val="FootnoteReference"/>
          <w:lang w:eastAsia="en-AU" w:bidi="ar-SA"/>
        </w:rPr>
        <w:footnoteReference w:id="6"/>
      </w:r>
      <w:r w:rsidR="008B10A5">
        <w:rPr>
          <w:lang w:eastAsia="en-AU" w:bidi="ar-SA"/>
        </w:rPr>
        <w:t xml:space="preserve"> (</w:t>
      </w:r>
      <w:r w:rsidR="00C97A93">
        <w:rPr>
          <w:lang w:eastAsia="en-AU" w:bidi="ar-SA"/>
        </w:rPr>
        <w:t xml:space="preserve">Requestor </w:t>
      </w:r>
      <w:r w:rsidR="008B10A5">
        <w:rPr>
          <w:lang w:eastAsia="en-AU" w:bidi="ar-SA"/>
        </w:rPr>
        <w:t xml:space="preserve">member state </w:t>
      </w:r>
      <w:r w:rsidR="00544FA7">
        <w:rPr>
          <w:lang w:eastAsia="en-AU" w:bidi="ar-SA"/>
        </w:rPr>
        <w:t>–</w:t>
      </w:r>
      <w:r w:rsidR="008B10A5">
        <w:rPr>
          <w:lang w:eastAsia="en-AU" w:bidi="ar-SA"/>
        </w:rPr>
        <w:t xml:space="preserve"> The</w:t>
      </w:r>
      <w:r>
        <w:rPr>
          <w:lang w:eastAsia="en-AU" w:bidi="ar-SA"/>
        </w:rPr>
        <w:t xml:space="preserve"> Netherlands</w:t>
      </w:r>
      <w:r w:rsidR="008B10A5">
        <w:rPr>
          <w:lang w:eastAsia="en-AU" w:bidi="ar-SA"/>
        </w:rPr>
        <w:t>)</w:t>
      </w:r>
      <w:r>
        <w:rPr>
          <w:lang w:eastAsia="en-AU" w:bidi="ar-SA"/>
        </w:rPr>
        <w:t>.</w:t>
      </w:r>
      <w:r w:rsidR="00C97A93">
        <w:rPr>
          <w:lang w:eastAsia="en-AU" w:bidi="ar-SA"/>
        </w:rPr>
        <w:t xml:space="preserve"> At the time of </w:t>
      </w:r>
      <w:r w:rsidR="00515ED4">
        <w:rPr>
          <w:lang w:eastAsia="en-AU" w:bidi="ar-SA"/>
        </w:rPr>
        <w:t>writing</w:t>
      </w:r>
      <w:r w:rsidR="00C97A93">
        <w:rPr>
          <w:lang w:eastAsia="en-AU" w:bidi="ar-SA"/>
        </w:rPr>
        <w:t xml:space="preserve">, </w:t>
      </w:r>
      <w:r w:rsidR="00FC1229">
        <w:rPr>
          <w:lang w:eastAsia="en-AU" w:bidi="ar-SA"/>
        </w:rPr>
        <w:t>this</w:t>
      </w:r>
      <w:r w:rsidR="00C97A93">
        <w:rPr>
          <w:lang w:eastAsia="en-AU" w:bidi="ar-SA"/>
        </w:rPr>
        <w:t xml:space="preserve"> application </w:t>
      </w:r>
      <w:r w:rsidR="00515ED4">
        <w:rPr>
          <w:lang w:eastAsia="en-AU" w:bidi="ar-SA"/>
        </w:rPr>
        <w:t>is</w:t>
      </w:r>
      <w:r w:rsidR="00540C53">
        <w:rPr>
          <w:lang w:eastAsia="en-AU" w:bidi="ar-SA"/>
        </w:rPr>
        <w:t xml:space="preserve"> current</w:t>
      </w:r>
      <w:r w:rsidR="00C97A93">
        <w:rPr>
          <w:lang w:eastAsia="en-AU" w:bidi="ar-SA"/>
        </w:rPr>
        <w:t xml:space="preserve">ly under consideration as a GMO application </w:t>
      </w:r>
      <w:r w:rsidR="00C97A93" w:rsidRPr="00C97A93">
        <w:rPr>
          <w:lang w:eastAsia="en-AU" w:bidi="ar-SA"/>
        </w:rPr>
        <w:t>Reg. 1829/2003</w:t>
      </w:r>
      <w:r w:rsidR="00C97A93">
        <w:rPr>
          <w:lang w:eastAsia="en-AU" w:bidi="ar-SA"/>
        </w:rPr>
        <w:t>.</w:t>
      </w:r>
    </w:p>
    <w:p w14:paraId="6E893A90" w14:textId="20F074EF" w:rsidR="00AF387F" w:rsidRPr="000B6AF2" w:rsidRDefault="00F33BB8" w:rsidP="004C01F6">
      <w:pPr>
        <w:pStyle w:val="Heading2"/>
        <w:keepNext w:val="0"/>
        <w:widowControl/>
        <w:rPr>
          <w:u w:color="FFFF00"/>
        </w:rPr>
      </w:pPr>
      <w:bookmarkStart w:id="32" w:name="_Toc286391007"/>
      <w:bookmarkStart w:id="33" w:name="_Toc300933423"/>
      <w:bookmarkStart w:id="34" w:name="_Toc26284643"/>
      <w:bookmarkStart w:id="35" w:name="_Toc26980494"/>
      <w:bookmarkStart w:id="36" w:name="_Toc175381432"/>
      <w:r>
        <w:rPr>
          <w:u w:color="FFFF00"/>
        </w:rPr>
        <w:t>1</w:t>
      </w:r>
      <w:r w:rsidR="00606C88">
        <w:rPr>
          <w:u w:color="FFFF00"/>
        </w:rPr>
        <w:t>.4</w:t>
      </w:r>
      <w:r w:rsidR="001542D8">
        <w:rPr>
          <w:u w:color="FFFF00"/>
        </w:rPr>
        <w:tab/>
      </w:r>
      <w:r w:rsidR="00741EFE">
        <w:rPr>
          <w:u w:color="FFFF00"/>
        </w:rPr>
        <w:t xml:space="preserve">Reasons for </w:t>
      </w:r>
      <w:r w:rsidR="002A50F3">
        <w:rPr>
          <w:u w:color="FFFF00"/>
        </w:rPr>
        <w:t>accepting a</w:t>
      </w:r>
      <w:r w:rsidR="00AF387F" w:rsidRPr="0031421F">
        <w:rPr>
          <w:u w:color="FFFF00"/>
        </w:rPr>
        <w:t>pplication</w:t>
      </w:r>
      <w:bookmarkEnd w:id="32"/>
      <w:bookmarkEnd w:id="33"/>
      <w:bookmarkEnd w:id="34"/>
      <w:bookmarkEnd w:id="35"/>
    </w:p>
    <w:p w14:paraId="21988B3E" w14:textId="77777777" w:rsidR="00180C41" w:rsidRPr="000A26D4" w:rsidRDefault="00180C41" w:rsidP="004C01F6">
      <w:pPr>
        <w:widowControl/>
      </w:pPr>
      <w:bookmarkStart w:id="37" w:name="_Toc286391008"/>
      <w:bookmarkStart w:id="38" w:name="_Toc11735630"/>
      <w:bookmarkStart w:id="39" w:name="_Toc29883114"/>
      <w:bookmarkStart w:id="40" w:name="_Toc41906801"/>
      <w:bookmarkStart w:id="41" w:name="_Toc41907548"/>
      <w:bookmarkStart w:id="42" w:name="_Toc120358578"/>
      <w:bookmarkStart w:id="43" w:name="_Toc175381435"/>
      <w:bookmarkEnd w:id="7"/>
      <w:bookmarkEnd w:id="8"/>
      <w:bookmarkEnd w:id="9"/>
      <w:bookmarkEnd w:id="10"/>
      <w:bookmarkEnd w:id="11"/>
      <w:bookmarkEnd w:id="36"/>
      <w:r w:rsidRPr="000A26D4">
        <w:t xml:space="preserve">The Application was accepted for assessment </w:t>
      </w:r>
      <w:r w:rsidR="00741EFE" w:rsidRPr="000A26D4">
        <w:t>because</w:t>
      </w:r>
      <w:r w:rsidRPr="000A26D4">
        <w:t>:</w:t>
      </w:r>
    </w:p>
    <w:p w14:paraId="742296C6" w14:textId="77777777" w:rsidR="00180C41" w:rsidRPr="000A26D4" w:rsidRDefault="00180C41" w:rsidP="004C01F6">
      <w:pPr>
        <w:widowControl/>
      </w:pPr>
    </w:p>
    <w:p w14:paraId="6DFF0E2E" w14:textId="23425E94" w:rsidR="00180C41" w:rsidRPr="000A26D4" w:rsidRDefault="00741EFE" w:rsidP="004C01F6">
      <w:pPr>
        <w:pStyle w:val="ListParagraph"/>
        <w:widowControl/>
        <w:numPr>
          <w:ilvl w:val="0"/>
          <w:numId w:val="10"/>
        </w:numPr>
      </w:pPr>
      <w:r w:rsidRPr="000A26D4">
        <w:t>it complied</w:t>
      </w:r>
      <w:r w:rsidR="00180C41" w:rsidRPr="000A26D4">
        <w:t xml:space="preserve"> with the procedural requirements under s</w:t>
      </w:r>
      <w:r w:rsidR="00944BA4" w:rsidRPr="000A26D4">
        <w:t>ubsection</w:t>
      </w:r>
      <w:r w:rsidR="00180C41" w:rsidRPr="000A26D4">
        <w:t xml:space="preserve"> 22(2)</w:t>
      </w:r>
    </w:p>
    <w:p w14:paraId="0213322C" w14:textId="10398621" w:rsidR="00180C41" w:rsidRPr="000A26D4" w:rsidRDefault="000A26D4" w:rsidP="004C01F6">
      <w:pPr>
        <w:pStyle w:val="ListParagraph"/>
        <w:widowControl/>
        <w:numPr>
          <w:ilvl w:val="0"/>
          <w:numId w:val="10"/>
        </w:numPr>
      </w:pPr>
      <w:r w:rsidRPr="000A26D4">
        <w:t xml:space="preserve">it related to a matter that </w:t>
      </w:r>
      <w:r w:rsidR="00741EFE" w:rsidRPr="000A26D4">
        <w:t xml:space="preserve">warranted </w:t>
      </w:r>
      <w:r w:rsidR="00180C41" w:rsidRPr="000A26D4">
        <w:t>the variati</w:t>
      </w:r>
      <w:r w:rsidRPr="000A26D4">
        <w:t>on of a food regulatory measure</w:t>
      </w:r>
      <w:r w:rsidR="00280A87">
        <w:t>.</w:t>
      </w:r>
    </w:p>
    <w:p w14:paraId="0093F1A4" w14:textId="77777777" w:rsidR="00DE79D9" w:rsidRDefault="00D3171B" w:rsidP="004C01F6">
      <w:pPr>
        <w:pStyle w:val="Heading2"/>
        <w:keepNext w:val="0"/>
        <w:widowControl/>
      </w:pPr>
      <w:bookmarkStart w:id="44" w:name="_Toc26284644"/>
      <w:bookmarkStart w:id="45" w:name="_Toc26980495"/>
      <w:r>
        <w:t>1</w:t>
      </w:r>
      <w:r w:rsidR="00606C88">
        <w:t>.5</w:t>
      </w:r>
      <w:r w:rsidR="00DE79D9">
        <w:tab/>
        <w:t>Procedure for assessment</w:t>
      </w:r>
      <w:bookmarkEnd w:id="44"/>
      <w:bookmarkEnd w:id="45"/>
    </w:p>
    <w:p w14:paraId="46A9C2E5" w14:textId="54FB1B4E" w:rsidR="00DE79D9" w:rsidRDefault="00DE79D9" w:rsidP="004C01F6">
      <w:pPr>
        <w:widowControl/>
      </w:pPr>
      <w:r w:rsidRPr="000A26D4">
        <w:t xml:space="preserve">The Application is being assessed under </w:t>
      </w:r>
      <w:r w:rsidR="00415D53">
        <w:t>a</w:t>
      </w:r>
      <w:r w:rsidRPr="000A26D4">
        <w:t xml:space="preserve"> Major</w:t>
      </w:r>
      <w:r w:rsidR="000A26D4" w:rsidRPr="000A26D4">
        <w:t xml:space="preserve"> </w:t>
      </w:r>
      <w:r w:rsidRPr="000A26D4">
        <w:t>Procedure.</w:t>
      </w:r>
    </w:p>
    <w:p w14:paraId="053D5A86" w14:textId="77777777" w:rsidR="0031421F" w:rsidRDefault="0031421F" w:rsidP="004C01F6">
      <w:pPr>
        <w:widowControl/>
      </w:pPr>
    </w:p>
    <w:p w14:paraId="0079B80F" w14:textId="2F794D3D" w:rsidR="004F69F6" w:rsidRPr="00932F14" w:rsidRDefault="00D3171B" w:rsidP="004C01F6">
      <w:pPr>
        <w:pStyle w:val="Heading1"/>
        <w:keepNext w:val="0"/>
        <w:widowControl/>
      </w:pPr>
      <w:bookmarkStart w:id="46" w:name="_Toc286391009"/>
      <w:bookmarkStart w:id="47" w:name="_Toc300933425"/>
      <w:bookmarkStart w:id="48" w:name="_Toc120358583"/>
      <w:bookmarkStart w:id="49" w:name="_Toc175381440"/>
      <w:bookmarkStart w:id="50" w:name="_Toc26284645"/>
      <w:bookmarkStart w:id="51" w:name="_Toc26980496"/>
      <w:bookmarkEnd w:id="37"/>
      <w:r>
        <w:t>2</w:t>
      </w:r>
      <w:r w:rsidR="00271F00">
        <w:tab/>
      </w:r>
      <w:bookmarkEnd w:id="46"/>
      <w:bookmarkEnd w:id="47"/>
      <w:bookmarkEnd w:id="48"/>
      <w:bookmarkEnd w:id="49"/>
      <w:r w:rsidR="00C341C2">
        <w:t>Risk</w:t>
      </w:r>
      <w:r w:rsidR="00CF7C85">
        <w:t xml:space="preserve"> assessment</w:t>
      </w:r>
      <w:bookmarkEnd w:id="50"/>
      <w:bookmarkEnd w:id="51"/>
    </w:p>
    <w:p w14:paraId="1E69522A" w14:textId="3DFE42C9" w:rsidR="0016551F" w:rsidRDefault="0016551F" w:rsidP="0016551F">
      <w:pPr>
        <w:widowControl/>
        <w:rPr>
          <w:color w:val="000000" w:themeColor="text1"/>
        </w:rPr>
      </w:pPr>
      <w:r w:rsidRPr="00B012C9">
        <w:rPr>
          <w:color w:val="000000" w:themeColor="text1"/>
        </w:rPr>
        <w:t xml:space="preserve">FSANZ conducted a comprehensive assessment following the internationally recognised risk analysis framework based on </w:t>
      </w:r>
      <w:r>
        <w:rPr>
          <w:color w:val="000000" w:themeColor="text1"/>
        </w:rPr>
        <w:t>a weight of evidence approach, combining information and scientific evidence provided by the applicant with independent sources.</w:t>
      </w:r>
    </w:p>
    <w:p w14:paraId="0688A169" w14:textId="77777777" w:rsidR="00353150" w:rsidRDefault="00353150" w:rsidP="0016551F">
      <w:pPr>
        <w:widowControl/>
      </w:pPr>
    </w:p>
    <w:p w14:paraId="3E92F044" w14:textId="376C9A76" w:rsidR="00CC5E21" w:rsidRPr="00CF1F1E" w:rsidRDefault="00CC5E21" w:rsidP="00CC5E21">
      <w:pPr>
        <w:rPr>
          <w:color w:val="000000" w:themeColor="text1"/>
        </w:rPr>
      </w:pPr>
      <w:r>
        <w:t xml:space="preserve">In conducting the risk assessment of the soy leghemoglobin and the LegH Prep (see SD1), a number of criteria have been addressed, including the safety of the </w:t>
      </w:r>
      <w:r w:rsidRPr="00912F00">
        <w:rPr>
          <w:i/>
        </w:rPr>
        <w:t>P. pastoris</w:t>
      </w:r>
      <w:r>
        <w:t xml:space="preserve"> host strain, novel proteins, toxicity of the LegH Prep and a nutritional and dietary intake assessment.</w:t>
      </w:r>
      <w:r>
        <w:rPr>
          <w:color w:val="000000" w:themeColor="text1"/>
        </w:rPr>
        <w:t xml:space="preserve"> </w:t>
      </w:r>
      <w:r>
        <w:t xml:space="preserve">The safety assessment of the source organism and novel proteins concluded there were no public health and safety concerns. The source organism is a well characterised yeast with a recognised safe history of use for the production of food enzymes. It is neither pathogenic nor toxigenic. </w:t>
      </w:r>
    </w:p>
    <w:p w14:paraId="2618470F" w14:textId="77777777" w:rsidR="00CC5E21" w:rsidRDefault="00CC5E21" w:rsidP="00CC5E21"/>
    <w:p w14:paraId="0C6AC293" w14:textId="77777777" w:rsidR="00CC5E21" w:rsidRDefault="00CC5E21" w:rsidP="00CC5E21">
      <w:pPr>
        <w:rPr>
          <w:lang w:eastAsia="en-AU" w:bidi="ar-SA"/>
        </w:rPr>
      </w:pPr>
      <w:r>
        <w:t>The novel soy leghemoglobin was shown to be equivalent to that expressed in soybean and was shown to be expressed as a holoprotein. A</w:t>
      </w:r>
      <w:r>
        <w:rPr>
          <w:lang w:eastAsia="en-AU" w:bidi="ar-SA"/>
        </w:rPr>
        <w:t>nalyses of the</w:t>
      </w:r>
      <w:r w:rsidRPr="00C15217">
        <w:rPr>
          <w:lang w:eastAsia="en-AU" w:bidi="ar-SA"/>
        </w:rPr>
        <w:t xml:space="preserve"> potential</w:t>
      </w:r>
      <w:r>
        <w:rPr>
          <w:lang w:eastAsia="en-AU" w:bidi="ar-SA"/>
        </w:rPr>
        <w:t xml:space="preserve"> allergenicity or</w:t>
      </w:r>
      <w:r w:rsidRPr="00C15217">
        <w:rPr>
          <w:lang w:eastAsia="en-AU" w:bidi="ar-SA"/>
        </w:rPr>
        <w:t xml:space="preserve"> t</w:t>
      </w:r>
      <w:r>
        <w:rPr>
          <w:lang w:eastAsia="en-AU" w:bidi="ar-SA"/>
        </w:rPr>
        <w:t xml:space="preserve">oxicity of all the novel proteins, including soy leghemoglobin and the </w:t>
      </w:r>
      <w:r w:rsidRPr="00F25F99">
        <w:rPr>
          <w:i/>
          <w:lang w:eastAsia="en-AU" w:bidi="ar-SA"/>
        </w:rPr>
        <w:t>Pichia</w:t>
      </w:r>
      <w:r>
        <w:rPr>
          <w:lang w:eastAsia="en-AU" w:bidi="ar-SA"/>
        </w:rPr>
        <w:t xml:space="preserve"> proteins, did not identify any significant similarities to known allergens or toxins. The proteins were shown to be susceptible to pepsin digestion and were denatured at standard cooking temperatures and in acidic conditions that mimic the stomach environment. The shelf life and specifications of the LegH Prep are also appropriate for addition to meat analogue products.</w:t>
      </w:r>
    </w:p>
    <w:p w14:paraId="76B736C0" w14:textId="77777777" w:rsidR="00CC5E21" w:rsidRDefault="00CC5E21" w:rsidP="00CC5E21">
      <w:pPr>
        <w:rPr>
          <w:lang w:eastAsia="en-AU" w:bidi="ar-SA"/>
        </w:rPr>
      </w:pPr>
    </w:p>
    <w:p w14:paraId="6DBC4A2D" w14:textId="5ACAEE72" w:rsidR="00CC5E21" w:rsidRDefault="00CC5E21" w:rsidP="00142BD4">
      <w:pPr>
        <w:widowControl/>
        <w:rPr>
          <w:rFonts w:eastAsia="Calibri"/>
          <w:szCs w:val="22"/>
          <w:lang w:bidi="ar-SA"/>
        </w:rPr>
      </w:pPr>
      <w:r>
        <w:rPr>
          <w:lang w:eastAsia="en-AU" w:bidi="ar-SA"/>
        </w:rPr>
        <w:t xml:space="preserve">The Applicant submitted </w:t>
      </w:r>
      <w:r w:rsidRPr="008B77F9">
        <w:rPr>
          <w:i/>
          <w:lang w:eastAsia="en-AU" w:bidi="ar-SA"/>
        </w:rPr>
        <w:t>in vitro</w:t>
      </w:r>
      <w:r>
        <w:rPr>
          <w:lang w:eastAsia="en-AU" w:bidi="ar-SA"/>
        </w:rPr>
        <w:t xml:space="preserve"> genotoxicity studies in bacterial and mammalian cells and an oral toxicity study in rats. These studies are intended to confirm the outcome of the compositional and bioinformatic analysis conducted as a part of the safety assessment</w:t>
      </w:r>
      <w:r w:rsidR="00EB6B58">
        <w:rPr>
          <w:lang w:eastAsia="en-AU" w:bidi="ar-SA"/>
        </w:rPr>
        <w:t>.</w:t>
      </w:r>
      <w:r>
        <w:rPr>
          <w:lang w:eastAsia="en-AU" w:bidi="ar-SA"/>
        </w:rPr>
        <w:t xml:space="preserve"> </w:t>
      </w:r>
      <w:r w:rsidRPr="001D7A3F">
        <w:rPr>
          <w:lang w:eastAsia="en-AU" w:bidi="ar-SA"/>
        </w:rPr>
        <w:t xml:space="preserve">No hazard was identified in the submitted studies. </w:t>
      </w:r>
      <w:r w:rsidRPr="000F7F69">
        <w:rPr>
          <w:rFonts w:eastAsia="Calibri"/>
          <w:szCs w:val="22"/>
          <w:lang w:bidi="ar-SA"/>
        </w:rPr>
        <w:t xml:space="preserve">LegH Prep was not genotoxic </w:t>
      </w:r>
      <w:r w:rsidRPr="008B77F9">
        <w:rPr>
          <w:rFonts w:eastAsia="Calibri"/>
          <w:i/>
          <w:lang w:eastAsia="en-AU" w:bidi="ar-SA"/>
        </w:rPr>
        <w:t>in vitro</w:t>
      </w:r>
      <w:r w:rsidRPr="000F7F69">
        <w:rPr>
          <w:rFonts w:eastAsia="Calibri"/>
          <w:szCs w:val="22"/>
          <w:lang w:bidi="ar-SA"/>
        </w:rPr>
        <w:t xml:space="preserve"> and did not cause adverse effects in short-term toxicity studies in rats. The NOAEL of freeze-dried LegH Prep in a 28-day dietary toxicity study in rats was 1536 mg/kg bw/day, the highest dose tested. This dose corresponds to 1421 mg/kg bw/day TOS. </w:t>
      </w:r>
    </w:p>
    <w:p w14:paraId="6B7685E0" w14:textId="77777777" w:rsidR="00CC5E21" w:rsidRDefault="00CC5E21" w:rsidP="00CC5E21">
      <w:pPr>
        <w:rPr>
          <w:rFonts w:eastAsia="Calibri"/>
          <w:szCs w:val="22"/>
          <w:lang w:bidi="ar-SA"/>
        </w:rPr>
      </w:pPr>
    </w:p>
    <w:p w14:paraId="3CFAC103" w14:textId="6C60C640" w:rsidR="00CC5E21" w:rsidRPr="005F7957" w:rsidRDefault="00CC5E21" w:rsidP="00CC5E21">
      <w:pPr>
        <w:rPr>
          <w:rFonts w:eastAsia="Calibri"/>
          <w:lang w:eastAsia="en-AU" w:bidi="ar-SA"/>
        </w:rPr>
      </w:pPr>
      <w:r w:rsidRPr="000F7F69">
        <w:rPr>
          <w:rFonts w:eastAsia="Calibri"/>
          <w:szCs w:val="22"/>
          <w:lang w:bidi="ar-SA"/>
        </w:rPr>
        <w:t xml:space="preserve">Mean and P90 estimated dietary intakes of LegH Prep at the maximum proposed use level were 20 – 60 mg/kg bw/day TOS and 45 – 124 mg/kg bw/day TOS, respectively. Mean and P90 estimated dietary intakes of LegH Prep at the likely use level were 11 – 32 mg/kg bw/day TOS and 24 – 68 mg/kg bw/day TOS, respectively. </w:t>
      </w:r>
      <w:r w:rsidRPr="00E9534C">
        <w:rPr>
          <w:rFonts w:eastAsia="Calibri"/>
          <w:szCs w:val="22"/>
          <w:lang w:bidi="ar-SA"/>
        </w:rPr>
        <w:t xml:space="preserve">The estimated intakes of LegH </w:t>
      </w:r>
      <w:r>
        <w:rPr>
          <w:rFonts w:eastAsia="Calibri"/>
          <w:szCs w:val="22"/>
          <w:lang w:bidi="ar-SA"/>
        </w:rPr>
        <w:t>P</w:t>
      </w:r>
      <w:r w:rsidRPr="00E9534C">
        <w:rPr>
          <w:rFonts w:eastAsia="Calibri"/>
          <w:szCs w:val="22"/>
          <w:lang w:bidi="ar-SA"/>
        </w:rPr>
        <w:t>rep for both scenarios are considered to be conservative as it is unlikely that consumers will eat meat analogue products containing soy leghemoglobin in the same amounts</w:t>
      </w:r>
      <w:r w:rsidR="00EB6B58">
        <w:rPr>
          <w:rFonts w:eastAsia="Calibri"/>
          <w:szCs w:val="22"/>
          <w:lang w:bidi="ar-SA"/>
        </w:rPr>
        <w:t xml:space="preserve"> or with the same frequency</w:t>
      </w:r>
      <w:r w:rsidRPr="00E9534C">
        <w:rPr>
          <w:rFonts w:eastAsia="Calibri"/>
          <w:szCs w:val="22"/>
          <w:lang w:bidi="ar-SA"/>
        </w:rPr>
        <w:t xml:space="preserve"> they currently consume minced meat and poultry products, and vegetarian meat alternatives (particularly over a long period of time).</w:t>
      </w:r>
    </w:p>
    <w:p w14:paraId="7ACB5372" w14:textId="77777777" w:rsidR="00CC5E21" w:rsidRDefault="00CC5E21" w:rsidP="00CC5E21">
      <w:pPr>
        <w:rPr>
          <w:lang w:eastAsia="en-AU" w:bidi="ar-SA"/>
        </w:rPr>
      </w:pPr>
    </w:p>
    <w:p w14:paraId="654D47EE" w14:textId="6FFDC29F" w:rsidR="00CC5E21" w:rsidRPr="005F7957" w:rsidRDefault="000E14B2" w:rsidP="00CC5E21">
      <w:pPr>
        <w:rPr>
          <w:rFonts w:eastAsia="Calibri"/>
          <w:lang w:eastAsia="en-AU" w:bidi="ar-SA"/>
        </w:rPr>
      </w:pPr>
      <w:r>
        <w:rPr>
          <w:rFonts w:eastAsia="Calibri"/>
          <w:lang w:eastAsia="en-AU" w:bidi="ar-SA"/>
        </w:rPr>
        <w:t xml:space="preserve">The margins of exposure (MOEs) between the NOAEL of </w:t>
      </w:r>
      <w:r w:rsidRPr="001649D0">
        <w:rPr>
          <w:rFonts w:eastAsia="Calibri"/>
          <w:lang w:eastAsia="en-AU" w:bidi="ar-SA"/>
        </w:rPr>
        <w:t>1421 mg/kg bw/day TOS</w:t>
      </w:r>
      <w:r>
        <w:rPr>
          <w:rFonts w:eastAsia="Calibri"/>
          <w:lang w:eastAsia="en-AU" w:bidi="ar-SA"/>
        </w:rPr>
        <w:t xml:space="preserve"> in the rat oral toxicity study and estimated dietary exposures at the maximum proposed use level ranged between 20 – 70 for mean exposures and between 10 – 30 at the 90</w:t>
      </w:r>
      <w:r w:rsidRPr="00C25CFE">
        <w:rPr>
          <w:rFonts w:eastAsia="Calibri"/>
          <w:vertAlign w:val="superscript"/>
          <w:lang w:eastAsia="en-AU" w:bidi="ar-SA"/>
        </w:rPr>
        <w:t>th</w:t>
      </w:r>
      <w:r>
        <w:rPr>
          <w:rFonts w:eastAsia="Calibri"/>
          <w:lang w:eastAsia="en-AU" w:bidi="ar-SA"/>
        </w:rPr>
        <w:t xml:space="preserve"> percentile. At likely use levels, MOEs for mean and P90 estimated dietary intakes ranged between 40 – 130 and 20 – 60, respectively. </w:t>
      </w:r>
      <w:r w:rsidR="00CC5E21">
        <w:rPr>
          <w:rFonts w:eastAsia="Calibri"/>
          <w:lang w:eastAsia="en-AU" w:bidi="ar-SA"/>
        </w:rPr>
        <w:t xml:space="preserve">These MOEs are not considered to be of concern given that; a sufficient body of knowledge exists on the safety of the organism (it is not pathogenic or toxigenic), the soy leghemoglobin and </w:t>
      </w:r>
      <w:r w:rsidR="00CC5E21" w:rsidRPr="00C25CFE">
        <w:rPr>
          <w:rFonts w:eastAsia="Calibri"/>
          <w:i/>
          <w:lang w:eastAsia="en-AU" w:bidi="ar-SA"/>
        </w:rPr>
        <w:t>Pichia</w:t>
      </w:r>
      <w:r w:rsidR="00CC5E21">
        <w:rPr>
          <w:rFonts w:eastAsia="Calibri"/>
          <w:lang w:eastAsia="en-AU" w:bidi="ar-SA"/>
        </w:rPr>
        <w:t xml:space="preserve"> proteins will be digested like other other dietary proteins and do not share any significant similarities to known allergens or toxins; and the conservative nature of the dietary exposure assessment which is likely to overestimate intakes over a long period of time. </w:t>
      </w:r>
    </w:p>
    <w:p w14:paraId="79DE7A10" w14:textId="5ACD37E7" w:rsidR="0016551F" w:rsidRPr="00920ACD" w:rsidRDefault="0016551F" w:rsidP="0016551F">
      <w:pPr>
        <w:rPr>
          <w:color w:val="A6A6A6" w:themeColor="background1" w:themeShade="A6"/>
          <w:lang w:eastAsia="en-AU" w:bidi="ar-SA"/>
        </w:rPr>
      </w:pPr>
    </w:p>
    <w:p w14:paraId="66FDC2BA" w14:textId="093EA71C" w:rsidR="0016551F" w:rsidRDefault="0016551F" w:rsidP="0016551F">
      <w:r>
        <w:t xml:space="preserve">The nutrition assessment concluded that haem iron from soy leghemoglobin </w:t>
      </w:r>
      <w:r w:rsidR="00D720BA">
        <w:t xml:space="preserve">is likely to </w:t>
      </w:r>
      <w:r>
        <w:t xml:space="preserve">have </w:t>
      </w:r>
      <w:r w:rsidR="00362631">
        <w:t xml:space="preserve">similar </w:t>
      </w:r>
      <w:r>
        <w:t xml:space="preserve">bioavailability to haem iron </w:t>
      </w:r>
      <w:r w:rsidR="00E11B94">
        <w:rPr>
          <w:rFonts w:cs="Arial"/>
        </w:rPr>
        <w:t xml:space="preserve">from </w:t>
      </w:r>
      <w:r w:rsidR="00AE258B">
        <w:rPr>
          <w:rFonts w:cs="Arial"/>
        </w:rPr>
        <w:t>mammalian haem proteins (e.g. myoglobin present in muscle tissue)</w:t>
      </w:r>
      <w:r>
        <w:t xml:space="preserve">. </w:t>
      </w:r>
      <w:r w:rsidR="00262052">
        <w:t>The absence of meat</w:t>
      </w:r>
      <w:r w:rsidR="009F6F77">
        <w:t xml:space="preserve"> proteins in the </w:t>
      </w:r>
      <w:r w:rsidR="00AE258B">
        <w:t xml:space="preserve">proposed </w:t>
      </w:r>
      <w:r w:rsidR="009F6F77">
        <w:t>meat analogue product</w:t>
      </w:r>
      <w:r w:rsidR="00AE258B">
        <w:t>s</w:t>
      </w:r>
      <w:r w:rsidR="009F6F77">
        <w:t xml:space="preserve"> may decrease </w:t>
      </w:r>
      <w:r w:rsidR="00E11B94">
        <w:t xml:space="preserve">the </w:t>
      </w:r>
      <w:r w:rsidR="009F6F77">
        <w:t>bioavailability</w:t>
      </w:r>
      <w:r w:rsidR="00E11B94">
        <w:t xml:space="preserve"> of haem iron from soy leghemoglobin</w:t>
      </w:r>
      <w:r w:rsidR="009F6F77">
        <w:t xml:space="preserve">. </w:t>
      </w:r>
      <w:r>
        <w:t>However</w:t>
      </w:r>
      <w:r w:rsidR="00E11B94">
        <w:t>,</w:t>
      </w:r>
      <w:r>
        <w:t xml:space="preserve"> </w:t>
      </w:r>
      <w:r w:rsidR="00651321">
        <w:t>as i</w:t>
      </w:r>
      <w:r w:rsidR="00651321" w:rsidRPr="00B237C9">
        <w:rPr>
          <w:rFonts w:cs="Arial"/>
        </w:rPr>
        <w:t>ron absorption is regulated</w:t>
      </w:r>
      <w:r w:rsidR="00651321">
        <w:rPr>
          <w:rFonts w:cs="Arial"/>
        </w:rPr>
        <w:t xml:space="preserve"> tightly</w:t>
      </w:r>
      <w:r w:rsidR="00651321" w:rsidRPr="00B237C9">
        <w:rPr>
          <w:rFonts w:cs="Arial"/>
        </w:rPr>
        <w:t xml:space="preserve"> by the body</w:t>
      </w:r>
      <w:r w:rsidR="00651321">
        <w:rPr>
          <w:rFonts w:cs="Arial"/>
        </w:rPr>
        <w:t>, and</w:t>
      </w:r>
      <w:r w:rsidR="00651321">
        <w:t xml:space="preserve"> meat analogue products </w:t>
      </w:r>
      <w:r>
        <w:t xml:space="preserve">have higher total iron content </w:t>
      </w:r>
      <w:r w:rsidR="003B32AB">
        <w:t>due to</w:t>
      </w:r>
      <w:r w:rsidR="004D5002">
        <w:t xml:space="preserve"> higher </w:t>
      </w:r>
      <w:r w:rsidR="003B32AB">
        <w:t>content</w:t>
      </w:r>
      <w:r w:rsidR="004D5002">
        <w:t xml:space="preserve"> of non-haem iron </w:t>
      </w:r>
      <w:r>
        <w:t xml:space="preserve">relative to comparison foods, </w:t>
      </w:r>
      <w:r w:rsidR="00E11B94">
        <w:t xml:space="preserve">any </w:t>
      </w:r>
      <w:r>
        <w:t>decrease in haem iron bioavailability should not result in a nutritional disadvantage to consumers in Australia and New Zealand.</w:t>
      </w:r>
    </w:p>
    <w:p w14:paraId="2DE60387" w14:textId="77777777" w:rsidR="0063560F" w:rsidRDefault="0063560F" w:rsidP="00125CAC">
      <w:pPr>
        <w:tabs>
          <w:tab w:val="left" w:pos="1139"/>
        </w:tabs>
        <w:rPr>
          <w:rFonts w:cs="Arial"/>
        </w:rPr>
      </w:pPr>
    </w:p>
    <w:p w14:paraId="671B23CC" w14:textId="77777777" w:rsidR="00F2156E" w:rsidRDefault="00F2156E" w:rsidP="00F2156E">
      <w:pPr>
        <w:rPr>
          <w:rFonts w:cs="Arial"/>
        </w:rPr>
      </w:pPr>
      <w:r w:rsidRPr="00874E96">
        <w:rPr>
          <w:rFonts w:cs="Arial"/>
        </w:rPr>
        <w:t>The estimated intake</w:t>
      </w:r>
      <w:r>
        <w:rPr>
          <w:rFonts w:cs="Arial"/>
        </w:rPr>
        <w:t>s</w:t>
      </w:r>
      <w:r w:rsidRPr="00874E96">
        <w:rPr>
          <w:rFonts w:cs="Arial"/>
        </w:rPr>
        <w:t xml:space="preserve"> of iron (with the additional iron contribution from soy leghemoglobin) for all population age/sex groups assessed for both the Australian and New Zealand populations </w:t>
      </w:r>
      <w:r>
        <w:rPr>
          <w:rFonts w:cs="Arial"/>
        </w:rPr>
        <w:t>are</w:t>
      </w:r>
      <w:r w:rsidRPr="00874E96">
        <w:rPr>
          <w:rFonts w:cs="Arial"/>
        </w:rPr>
        <w:t xml:space="preserve"> below the UL</w:t>
      </w:r>
      <w:r>
        <w:rPr>
          <w:rFonts w:cs="Arial"/>
        </w:rPr>
        <w:t>s</w:t>
      </w:r>
      <w:r w:rsidRPr="00874E96">
        <w:rPr>
          <w:rFonts w:cs="Arial"/>
        </w:rPr>
        <w:t xml:space="preserve"> for iron. The estimated iron intakes in FSANZs assessment, for both the </w:t>
      </w:r>
      <w:r w:rsidRPr="00874E96">
        <w:rPr>
          <w:rFonts w:cs="Arial"/>
          <w:i/>
        </w:rPr>
        <w:t xml:space="preserve">maximum proposed use level </w:t>
      </w:r>
      <w:r w:rsidRPr="00874E96">
        <w:rPr>
          <w:rFonts w:cs="Arial"/>
        </w:rPr>
        <w:t xml:space="preserve">and </w:t>
      </w:r>
      <w:r w:rsidRPr="00874E96">
        <w:rPr>
          <w:rFonts w:cs="Arial"/>
          <w:i/>
        </w:rPr>
        <w:t xml:space="preserve">likely use level </w:t>
      </w:r>
      <w:r w:rsidRPr="00874E96">
        <w:rPr>
          <w:rFonts w:cs="Arial"/>
        </w:rPr>
        <w:t>scenarios, are considered to be conservative and an overestimation of actual iron intakes. It is unlikely that consumption of meat analogue products containing soy leghemoglobin would pose a risk of iron exceedances to the Australian and New Zealand populations, including at levels up to 0.8% soy leghemoglobin</w:t>
      </w:r>
      <w:r>
        <w:rPr>
          <w:rFonts w:cs="Arial"/>
        </w:rPr>
        <w:t>.</w:t>
      </w:r>
    </w:p>
    <w:p w14:paraId="6BF84481" w14:textId="6DAD4502" w:rsidR="005B4F6E" w:rsidRDefault="005B4F6E" w:rsidP="0063560F">
      <w:pPr>
        <w:tabs>
          <w:tab w:val="left" w:pos="1139"/>
        </w:tabs>
        <w:rPr>
          <w:lang w:eastAsia="en-AU" w:bidi="ar-SA"/>
        </w:rPr>
      </w:pPr>
    </w:p>
    <w:p w14:paraId="2B3D5D2E" w14:textId="120CD473" w:rsidR="00F2156E" w:rsidRPr="00F2156E" w:rsidRDefault="00F2156E" w:rsidP="00F2156E">
      <w:pPr>
        <w:rPr>
          <w:rFonts w:cs="Arial"/>
        </w:rPr>
      </w:pPr>
      <w:r>
        <w:rPr>
          <w:rFonts w:cs="Arial"/>
        </w:rPr>
        <w:t xml:space="preserve">The Applicant states that over 20 million servings of meat analogue products containing LegH Prep have been sold in the US since June 2016, and products are also sold in restaurants in Hong Kong, Macau and Singapore. FSANZ notes the Applicant has indicated there are no reports of adverse events from consumption of these products. </w:t>
      </w:r>
    </w:p>
    <w:p w14:paraId="081446B0" w14:textId="77777777" w:rsidR="00F2156E" w:rsidRDefault="00F2156E" w:rsidP="0063560F">
      <w:pPr>
        <w:tabs>
          <w:tab w:val="left" w:pos="1139"/>
        </w:tabs>
        <w:rPr>
          <w:lang w:eastAsia="en-AU" w:bidi="ar-SA"/>
        </w:rPr>
      </w:pPr>
    </w:p>
    <w:p w14:paraId="2439135E" w14:textId="77777777" w:rsidR="00CC5E21" w:rsidRPr="002C7CFD" w:rsidRDefault="00CC5E21" w:rsidP="00CC5E21">
      <w:pPr>
        <w:rPr>
          <w:rFonts w:eastAsia="Calibri"/>
          <w:szCs w:val="22"/>
          <w:lang w:bidi="ar-SA"/>
        </w:rPr>
      </w:pPr>
      <w:r>
        <w:rPr>
          <w:rFonts w:eastAsia="Calibri"/>
          <w:szCs w:val="22"/>
          <w:lang w:bidi="ar-SA"/>
        </w:rPr>
        <w:t xml:space="preserve">In conclusion, the </w:t>
      </w:r>
      <w:r w:rsidRPr="00874E96">
        <w:rPr>
          <w:rFonts w:eastAsia="Calibri"/>
          <w:szCs w:val="22"/>
          <w:lang w:bidi="ar-SA"/>
        </w:rPr>
        <w:t>assessment of</w:t>
      </w:r>
      <w:r>
        <w:rPr>
          <w:rFonts w:eastAsia="Calibri"/>
          <w:szCs w:val="22"/>
          <w:lang w:bidi="ar-SA"/>
        </w:rPr>
        <w:t xml:space="preserve"> soy leghemoglobin and the</w:t>
      </w:r>
      <w:r w:rsidRPr="00874E96">
        <w:rPr>
          <w:rFonts w:eastAsia="Calibri"/>
          <w:szCs w:val="22"/>
          <w:lang w:bidi="ar-SA"/>
        </w:rPr>
        <w:t xml:space="preserve"> LegH Prep concluded that there are no public health and safety concerns associated with its use in meat analogue products at the proposed level</w:t>
      </w:r>
      <w:r>
        <w:rPr>
          <w:rFonts w:eastAsia="Calibri"/>
          <w:szCs w:val="22"/>
          <w:lang w:bidi="ar-SA"/>
        </w:rPr>
        <w:t xml:space="preserve"> of up to 0.8% soy leghemoglobin</w:t>
      </w:r>
      <w:r w:rsidRPr="00874E96">
        <w:rPr>
          <w:rFonts w:eastAsia="Calibri"/>
          <w:szCs w:val="22"/>
          <w:lang w:bidi="ar-SA"/>
        </w:rPr>
        <w:t xml:space="preserve">. </w:t>
      </w:r>
    </w:p>
    <w:p w14:paraId="0B60CD83" w14:textId="77777777" w:rsidR="00E072AC" w:rsidRPr="005E31D6" w:rsidRDefault="00E072AC" w:rsidP="0063560F">
      <w:pPr>
        <w:tabs>
          <w:tab w:val="left" w:pos="1139"/>
        </w:tabs>
        <w:rPr>
          <w:rFonts w:eastAsia="Calibri"/>
          <w:szCs w:val="22"/>
          <w:lang w:bidi="ar-SA"/>
        </w:rPr>
      </w:pPr>
    </w:p>
    <w:p w14:paraId="2E40FD43" w14:textId="584645BD" w:rsidR="004F69F6" w:rsidRPr="005E3E0E" w:rsidRDefault="00E072AC" w:rsidP="00142BD4">
      <w:pPr>
        <w:pStyle w:val="Heading1"/>
        <w:widowControl/>
      </w:pPr>
      <w:bookmarkStart w:id="52" w:name="_Toc175381442"/>
      <w:bookmarkStart w:id="53" w:name="_Toc286391010"/>
      <w:bookmarkStart w:id="54" w:name="_Toc300933426"/>
      <w:bookmarkStart w:id="55" w:name="_Toc26284646"/>
      <w:bookmarkStart w:id="56" w:name="_Toc26980497"/>
      <w:bookmarkEnd w:id="52"/>
      <w:bookmarkEnd w:id="53"/>
      <w:bookmarkEnd w:id="54"/>
      <w:r>
        <w:t>3</w:t>
      </w:r>
      <w:r>
        <w:tab/>
      </w:r>
      <w:r w:rsidR="0045556F" w:rsidRPr="005E3E0E">
        <w:t>R</w:t>
      </w:r>
      <w:r w:rsidR="00707E72" w:rsidRPr="005E3E0E">
        <w:t>isk m</w:t>
      </w:r>
      <w:r w:rsidR="008A35FB" w:rsidRPr="005E3E0E">
        <w:t>anagement</w:t>
      </w:r>
      <w:bookmarkEnd w:id="55"/>
      <w:bookmarkEnd w:id="56"/>
    </w:p>
    <w:p w14:paraId="5ACBAED5" w14:textId="5D5C691F" w:rsidR="007B7FF4" w:rsidRDefault="00A346E3" w:rsidP="00142BD4">
      <w:pPr>
        <w:widowControl/>
        <w:rPr>
          <w:rFonts w:eastAsia="Calibri"/>
          <w:szCs w:val="22"/>
          <w:lang w:val="en-AU"/>
        </w:rPr>
      </w:pPr>
      <w:r>
        <w:rPr>
          <w:rFonts w:eastAsia="Calibri"/>
          <w:szCs w:val="22"/>
          <w:lang w:bidi="ar-SA"/>
        </w:rPr>
        <w:t xml:space="preserve">Soy leghemoglobin, </w:t>
      </w:r>
      <w:r w:rsidR="00C02507">
        <w:rPr>
          <w:rFonts w:eastAsia="Calibri"/>
          <w:szCs w:val="22"/>
          <w:lang w:bidi="ar-SA"/>
        </w:rPr>
        <w:t xml:space="preserve">is proposed to be </w:t>
      </w:r>
      <w:r>
        <w:rPr>
          <w:rFonts w:eastAsia="Calibri"/>
          <w:szCs w:val="22"/>
          <w:lang w:bidi="ar-SA"/>
        </w:rPr>
        <w:t>a new ingredient in the Australian and New Zealand food supply</w:t>
      </w:r>
      <w:bookmarkStart w:id="57" w:name="_Toc300761910"/>
      <w:r w:rsidR="00C02507">
        <w:rPr>
          <w:rFonts w:eastAsia="Calibri"/>
          <w:szCs w:val="22"/>
          <w:lang w:bidi="ar-SA"/>
        </w:rPr>
        <w:t>. The risk management response to matters raised by the risk assessment are as follows.</w:t>
      </w:r>
    </w:p>
    <w:p w14:paraId="731D5707" w14:textId="24623D89" w:rsidR="00E0705E" w:rsidRPr="00E0705E" w:rsidRDefault="00DF5F0F" w:rsidP="004C01F6">
      <w:pPr>
        <w:pStyle w:val="Heading3"/>
        <w:keepNext w:val="0"/>
        <w:widowControl/>
      </w:pPr>
      <w:bookmarkStart w:id="58" w:name="_Toc26284647"/>
      <w:bookmarkStart w:id="59" w:name="_Toc26980498"/>
      <w:r>
        <w:t xml:space="preserve">Potential allergenicity </w:t>
      </w:r>
      <w:r w:rsidR="006D50A8">
        <w:t>soy leghemoglobin</w:t>
      </w:r>
      <w:r w:rsidR="00D533B9">
        <w:t xml:space="preserve"> </w:t>
      </w:r>
      <w:r w:rsidR="0074513A">
        <w:t>and</w:t>
      </w:r>
      <w:r w:rsidR="00D533B9">
        <w:t xml:space="preserve"> LegH Prep</w:t>
      </w:r>
      <w:bookmarkEnd w:id="58"/>
      <w:bookmarkEnd w:id="59"/>
    </w:p>
    <w:p w14:paraId="3E4BB551" w14:textId="43D9EE75" w:rsidR="00A346E3" w:rsidRDefault="0076115A" w:rsidP="00A346E3">
      <w:pPr>
        <w:widowControl/>
        <w:rPr>
          <w:lang w:bidi="ar-SA"/>
        </w:rPr>
      </w:pPr>
      <w:r>
        <w:rPr>
          <w:rFonts w:eastAsia="Calibri"/>
          <w:szCs w:val="22"/>
          <w:lang w:bidi="ar-SA"/>
        </w:rPr>
        <w:t xml:space="preserve">The safety assessment of soy leghemoglobin </w:t>
      </w:r>
      <w:r w:rsidR="00F14F7D">
        <w:rPr>
          <w:rFonts w:eastAsia="Calibri"/>
          <w:szCs w:val="22"/>
          <w:lang w:bidi="ar-SA"/>
        </w:rPr>
        <w:t xml:space="preserve">of </w:t>
      </w:r>
      <w:r>
        <w:rPr>
          <w:rFonts w:eastAsia="Calibri"/>
          <w:szCs w:val="22"/>
          <w:lang w:bidi="ar-SA"/>
        </w:rPr>
        <w:t xml:space="preserve">the residual </w:t>
      </w:r>
      <w:r w:rsidRPr="0076115A">
        <w:rPr>
          <w:rFonts w:eastAsia="Calibri"/>
          <w:i/>
          <w:szCs w:val="22"/>
          <w:lang w:bidi="ar-SA"/>
        </w:rPr>
        <w:t>Pichia</w:t>
      </w:r>
      <w:r>
        <w:rPr>
          <w:rFonts w:eastAsia="Calibri"/>
          <w:szCs w:val="22"/>
          <w:lang w:bidi="ar-SA"/>
        </w:rPr>
        <w:t xml:space="preserve"> proteins identified no allergenicity concerns. </w:t>
      </w:r>
      <w:r>
        <w:rPr>
          <w:lang w:eastAsia="en-AU" w:bidi="ar-SA"/>
        </w:rPr>
        <w:t xml:space="preserve">FSANZ is also not aware of any reported </w:t>
      </w:r>
      <w:r w:rsidR="00962F03">
        <w:rPr>
          <w:lang w:eastAsia="en-AU" w:bidi="ar-SA"/>
        </w:rPr>
        <w:t>adverse</w:t>
      </w:r>
      <w:r>
        <w:rPr>
          <w:lang w:eastAsia="en-AU" w:bidi="ar-SA"/>
        </w:rPr>
        <w:t xml:space="preserve"> reactions related to the consumption of the meat analogue products containing soy leghemoglobin, since </w:t>
      </w:r>
      <w:r w:rsidR="00B51DBD">
        <w:rPr>
          <w:lang w:eastAsia="en-AU" w:bidi="ar-SA"/>
        </w:rPr>
        <w:t>being</w:t>
      </w:r>
      <w:r w:rsidR="00F14F7D">
        <w:rPr>
          <w:lang w:eastAsia="en-AU" w:bidi="ar-SA"/>
        </w:rPr>
        <w:t xml:space="preserve"> made available on</w:t>
      </w:r>
      <w:r>
        <w:rPr>
          <w:lang w:eastAsia="en-AU" w:bidi="ar-SA"/>
        </w:rPr>
        <w:t xml:space="preserve"> the international market in 2016.</w:t>
      </w:r>
      <w:r>
        <w:rPr>
          <w:rFonts w:eastAsia="Calibri"/>
          <w:szCs w:val="22"/>
          <w:lang w:bidi="ar-SA"/>
        </w:rPr>
        <w:t xml:space="preserve"> However, </w:t>
      </w:r>
      <w:r w:rsidR="00F14F7D">
        <w:rPr>
          <w:rFonts w:eastAsia="Calibri"/>
          <w:szCs w:val="22"/>
          <w:lang w:bidi="ar-SA"/>
        </w:rPr>
        <w:t>FSANZ note</w:t>
      </w:r>
      <w:r w:rsidR="00B51DBD">
        <w:rPr>
          <w:rFonts w:eastAsia="Calibri"/>
          <w:szCs w:val="22"/>
          <w:lang w:bidi="ar-SA"/>
        </w:rPr>
        <w:t>s</w:t>
      </w:r>
      <w:r w:rsidR="00F14F7D">
        <w:rPr>
          <w:rFonts w:eastAsia="Calibri"/>
          <w:szCs w:val="22"/>
          <w:lang w:bidi="ar-SA"/>
        </w:rPr>
        <w:t xml:space="preserve"> </w:t>
      </w:r>
      <w:r>
        <w:rPr>
          <w:rFonts w:eastAsia="Calibri"/>
          <w:szCs w:val="22"/>
          <w:lang w:bidi="ar-SA"/>
        </w:rPr>
        <w:t xml:space="preserve">the </w:t>
      </w:r>
      <w:r w:rsidR="00B51DBD">
        <w:rPr>
          <w:rFonts w:eastAsia="Calibri"/>
          <w:szCs w:val="22"/>
          <w:lang w:bidi="ar-SA"/>
        </w:rPr>
        <w:t xml:space="preserve">soybean </w:t>
      </w:r>
      <w:r>
        <w:rPr>
          <w:rFonts w:eastAsia="Calibri"/>
          <w:szCs w:val="22"/>
          <w:lang w:bidi="ar-SA"/>
        </w:rPr>
        <w:t>source of the legh</w:t>
      </w:r>
      <w:r w:rsidR="003D2762">
        <w:rPr>
          <w:rFonts w:eastAsia="Calibri"/>
          <w:szCs w:val="22"/>
          <w:lang w:bidi="ar-SA"/>
        </w:rPr>
        <w:t>a</w:t>
      </w:r>
      <w:r>
        <w:rPr>
          <w:rFonts w:eastAsia="Calibri"/>
          <w:szCs w:val="22"/>
          <w:lang w:bidi="ar-SA"/>
        </w:rPr>
        <w:t xml:space="preserve">emoglobin </w:t>
      </w:r>
      <w:r w:rsidR="007F1C94">
        <w:rPr>
          <w:rFonts w:eastAsia="Calibri"/>
          <w:szCs w:val="22"/>
          <w:lang w:bidi="ar-SA"/>
        </w:rPr>
        <w:t xml:space="preserve">and </w:t>
      </w:r>
      <w:r w:rsidR="00B51DBD">
        <w:rPr>
          <w:rFonts w:eastAsia="Calibri"/>
          <w:szCs w:val="22"/>
          <w:lang w:bidi="ar-SA"/>
        </w:rPr>
        <w:t>that</w:t>
      </w:r>
      <w:r w:rsidR="007F1C94">
        <w:rPr>
          <w:rFonts w:eastAsia="Calibri"/>
          <w:szCs w:val="22"/>
          <w:lang w:bidi="ar-SA"/>
        </w:rPr>
        <w:t xml:space="preserve"> f</w:t>
      </w:r>
      <w:r>
        <w:rPr>
          <w:rFonts w:eastAsia="Calibri"/>
          <w:szCs w:val="22"/>
          <w:lang w:bidi="ar-SA"/>
        </w:rPr>
        <w:t>oods derived from soybean require mandatory allergen warning labelling in Australia and New Zealand</w:t>
      </w:r>
      <w:r w:rsidR="00A346E3">
        <w:rPr>
          <w:lang w:eastAsia="en-AU" w:bidi="ar-SA"/>
        </w:rPr>
        <w:t xml:space="preserve"> </w:t>
      </w:r>
      <w:r w:rsidR="00A346E3">
        <w:rPr>
          <w:lang w:bidi="ar-SA"/>
        </w:rPr>
        <w:t xml:space="preserve">(see </w:t>
      </w:r>
      <w:r w:rsidR="00A346E3" w:rsidRPr="00273289">
        <w:rPr>
          <w:lang w:bidi="ar-SA"/>
        </w:rPr>
        <w:t xml:space="preserve">section </w:t>
      </w:r>
      <w:r w:rsidR="00567151">
        <w:rPr>
          <w:lang w:bidi="ar-SA"/>
        </w:rPr>
        <w:t>3.2.</w:t>
      </w:r>
      <w:r w:rsidR="006A1282">
        <w:rPr>
          <w:lang w:bidi="ar-SA"/>
        </w:rPr>
        <w:t xml:space="preserve">4 </w:t>
      </w:r>
      <w:r w:rsidR="00A346E3">
        <w:rPr>
          <w:lang w:bidi="ar-SA"/>
        </w:rPr>
        <w:t>below).</w:t>
      </w:r>
    </w:p>
    <w:p w14:paraId="77A5F8D9" w14:textId="6C1B0EDC" w:rsidR="00736D65" w:rsidRPr="00DF5F0F" w:rsidRDefault="00D53F85" w:rsidP="00C02507">
      <w:pPr>
        <w:pStyle w:val="Heading3"/>
      </w:pPr>
      <w:bookmarkStart w:id="60" w:name="_Toc26980499"/>
      <w:r>
        <w:t>D</w:t>
      </w:r>
      <w:r w:rsidR="007F1C94">
        <w:t>ietary intake of iron</w:t>
      </w:r>
      <w:bookmarkEnd w:id="60"/>
    </w:p>
    <w:p w14:paraId="3EA1BCDA" w14:textId="6ACB5626" w:rsidR="003D6001" w:rsidRPr="00E7344E" w:rsidRDefault="00B51DBD" w:rsidP="00D53F85">
      <w:pPr>
        <w:widowControl/>
        <w:rPr>
          <w:i/>
          <w:lang w:eastAsia="en-AU" w:bidi="ar-SA"/>
        </w:rPr>
      </w:pPr>
      <w:r>
        <w:rPr>
          <w:lang w:eastAsia="en-AU" w:bidi="ar-SA"/>
        </w:rPr>
        <w:t xml:space="preserve">The </w:t>
      </w:r>
      <w:r w:rsidR="003D6001">
        <w:rPr>
          <w:lang w:eastAsia="en-AU" w:bidi="ar-SA"/>
        </w:rPr>
        <w:t xml:space="preserve">nutritional impact section of SD1 </w:t>
      </w:r>
      <w:r>
        <w:rPr>
          <w:lang w:eastAsia="en-AU" w:bidi="ar-SA"/>
        </w:rPr>
        <w:t>concluded</w:t>
      </w:r>
      <w:r w:rsidR="00D84A4E">
        <w:rPr>
          <w:lang w:eastAsia="en-AU" w:bidi="ar-SA"/>
        </w:rPr>
        <w:t xml:space="preserve"> </w:t>
      </w:r>
      <w:r w:rsidR="007B45CE">
        <w:rPr>
          <w:lang w:eastAsia="en-AU" w:bidi="ar-SA"/>
        </w:rPr>
        <w:t xml:space="preserve">that </w:t>
      </w:r>
      <w:r w:rsidR="003D6001">
        <w:rPr>
          <w:lang w:eastAsia="en-AU" w:bidi="ar-SA"/>
        </w:rPr>
        <w:t xml:space="preserve">the bioavailability of haem iron from soy leghemoglobin </w:t>
      </w:r>
      <w:r w:rsidR="00D84A4E">
        <w:rPr>
          <w:lang w:eastAsia="en-AU" w:bidi="ar-SA"/>
        </w:rPr>
        <w:t xml:space="preserve">was </w:t>
      </w:r>
      <w:r w:rsidR="007B45CE">
        <w:rPr>
          <w:lang w:eastAsia="en-AU" w:bidi="ar-SA"/>
        </w:rPr>
        <w:t xml:space="preserve">likely to be </w:t>
      </w:r>
      <w:r w:rsidR="00D84A4E">
        <w:rPr>
          <w:lang w:eastAsia="en-AU" w:bidi="ar-SA"/>
        </w:rPr>
        <w:t xml:space="preserve">similar </w:t>
      </w:r>
      <w:r w:rsidR="003D6001">
        <w:rPr>
          <w:lang w:eastAsia="en-AU" w:bidi="ar-SA"/>
        </w:rPr>
        <w:t>to myoglobin and haemoglobin</w:t>
      </w:r>
      <w:r w:rsidR="00DF5F0F">
        <w:rPr>
          <w:lang w:eastAsia="en-AU" w:bidi="ar-SA"/>
        </w:rPr>
        <w:t xml:space="preserve"> in meat</w:t>
      </w:r>
      <w:r w:rsidR="00F82849">
        <w:rPr>
          <w:lang w:eastAsia="en-AU" w:bidi="ar-SA"/>
        </w:rPr>
        <w:t>,</w:t>
      </w:r>
      <w:r w:rsidR="000820D6">
        <w:rPr>
          <w:lang w:eastAsia="en-AU" w:bidi="ar-SA"/>
        </w:rPr>
        <w:t xml:space="preserve"> noting that </w:t>
      </w:r>
      <w:r w:rsidR="00D84A4E">
        <w:rPr>
          <w:lang w:eastAsia="en-AU" w:bidi="ar-SA"/>
        </w:rPr>
        <w:t>iron absorption is largely regulated in response to an individual’s iron status.</w:t>
      </w:r>
      <w:r w:rsidR="00A0428C">
        <w:rPr>
          <w:lang w:eastAsia="en-AU" w:bidi="ar-SA"/>
        </w:rPr>
        <w:t xml:space="preserve"> </w:t>
      </w:r>
      <w:r w:rsidR="00E31F34">
        <w:rPr>
          <w:lang w:eastAsia="en-AU" w:bidi="ar-SA"/>
        </w:rPr>
        <w:t>The applicant indicate</w:t>
      </w:r>
      <w:r>
        <w:rPr>
          <w:lang w:eastAsia="en-AU" w:bidi="ar-SA"/>
        </w:rPr>
        <w:t>d</w:t>
      </w:r>
      <w:r w:rsidR="00E31F34">
        <w:rPr>
          <w:lang w:eastAsia="en-AU" w:bidi="ar-SA"/>
        </w:rPr>
        <w:t xml:space="preserve"> that non-haem iron is contributed </w:t>
      </w:r>
      <w:r>
        <w:rPr>
          <w:lang w:eastAsia="en-AU" w:bidi="ar-SA"/>
        </w:rPr>
        <w:t>by</w:t>
      </w:r>
      <w:r w:rsidR="00E31F34">
        <w:rPr>
          <w:lang w:eastAsia="en-AU" w:bidi="ar-SA"/>
        </w:rPr>
        <w:t xml:space="preserve"> other ingredients </w:t>
      </w:r>
      <w:r w:rsidR="007B45CE">
        <w:rPr>
          <w:lang w:eastAsia="en-AU" w:bidi="ar-SA"/>
        </w:rPr>
        <w:t>in</w:t>
      </w:r>
      <w:r w:rsidR="00E31F34">
        <w:rPr>
          <w:lang w:eastAsia="en-AU" w:bidi="ar-SA"/>
        </w:rPr>
        <w:t xml:space="preserve"> </w:t>
      </w:r>
      <w:r>
        <w:rPr>
          <w:lang w:eastAsia="en-AU" w:bidi="ar-SA"/>
        </w:rPr>
        <w:t>its</w:t>
      </w:r>
      <w:r w:rsidR="00E31F34">
        <w:rPr>
          <w:lang w:eastAsia="en-AU" w:bidi="ar-SA"/>
        </w:rPr>
        <w:t xml:space="preserve"> meat analogue products</w:t>
      </w:r>
      <w:r>
        <w:rPr>
          <w:lang w:eastAsia="en-AU" w:bidi="ar-SA"/>
        </w:rPr>
        <w:t xml:space="preserve">. This may </w:t>
      </w:r>
      <w:r w:rsidR="00C97F45">
        <w:rPr>
          <w:lang w:eastAsia="en-AU" w:bidi="ar-SA"/>
        </w:rPr>
        <w:t xml:space="preserve">also </w:t>
      </w:r>
      <w:r>
        <w:rPr>
          <w:lang w:eastAsia="en-AU" w:bidi="ar-SA"/>
        </w:rPr>
        <w:t xml:space="preserve">be the case for other meat analogues because addition of various forms of </w:t>
      </w:r>
      <w:r w:rsidR="00BA71D1">
        <w:rPr>
          <w:lang w:eastAsia="en-AU" w:bidi="ar-SA"/>
        </w:rPr>
        <w:t>non-</w:t>
      </w:r>
      <w:r>
        <w:rPr>
          <w:lang w:eastAsia="en-AU" w:bidi="ar-SA"/>
        </w:rPr>
        <w:t>haem iron</w:t>
      </w:r>
      <w:r w:rsidR="00C97F45">
        <w:rPr>
          <w:lang w:eastAsia="en-AU" w:bidi="ar-SA"/>
        </w:rPr>
        <w:t xml:space="preserve"> to these products</w:t>
      </w:r>
      <w:r>
        <w:rPr>
          <w:lang w:eastAsia="en-AU" w:bidi="ar-SA"/>
        </w:rPr>
        <w:t xml:space="preserve"> is permitted by the Code. If so,</w:t>
      </w:r>
      <w:r w:rsidR="00D53F85">
        <w:rPr>
          <w:lang w:eastAsia="en-AU" w:bidi="ar-SA"/>
        </w:rPr>
        <w:t xml:space="preserve"> the total iron content </w:t>
      </w:r>
      <w:r w:rsidR="0061054A">
        <w:rPr>
          <w:lang w:eastAsia="en-AU" w:bidi="ar-SA"/>
        </w:rPr>
        <w:t xml:space="preserve">of meat analogues </w:t>
      </w:r>
      <w:r w:rsidR="00C97F45">
        <w:rPr>
          <w:lang w:eastAsia="en-AU" w:bidi="ar-SA"/>
        </w:rPr>
        <w:t xml:space="preserve">may </w:t>
      </w:r>
      <w:r w:rsidR="0061054A">
        <w:rPr>
          <w:lang w:eastAsia="en-AU" w:bidi="ar-SA"/>
        </w:rPr>
        <w:t xml:space="preserve">be </w:t>
      </w:r>
      <w:r w:rsidR="00D53F85">
        <w:rPr>
          <w:lang w:eastAsia="en-AU" w:bidi="ar-SA"/>
        </w:rPr>
        <w:t xml:space="preserve">higher than </w:t>
      </w:r>
      <w:r w:rsidR="00C97F45">
        <w:rPr>
          <w:lang w:eastAsia="en-AU" w:bidi="ar-SA"/>
        </w:rPr>
        <w:t>red meat</w:t>
      </w:r>
      <w:r w:rsidR="00E31F34">
        <w:rPr>
          <w:lang w:eastAsia="en-AU" w:bidi="ar-SA"/>
        </w:rPr>
        <w:t xml:space="preserve">. </w:t>
      </w:r>
      <w:r w:rsidR="0061054A">
        <w:rPr>
          <w:lang w:eastAsia="en-AU" w:bidi="ar-SA"/>
        </w:rPr>
        <w:t>However this does not raise concerns about health risk because t</w:t>
      </w:r>
      <w:r w:rsidR="00464628">
        <w:rPr>
          <w:lang w:eastAsia="en-AU" w:bidi="ar-SA"/>
        </w:rPr>
        <w:t>he conservative and likely overestimated</w:t>
      </w:r>
      <w:r w:rsidR="00D53F85">
        <w:rPr>
          <w:lang w:eastAsia="en-AU" w:bidi="ar-SA"/>
        </w:rPr>
        <w:t xml:space="preserve"> dietary intake assessment </w:t>
      </w:r>
      <w:r w:rsidR="00464628">
        <w:rPr>
          <w:lang w:eastAsia="en-AU" w:bidi="ar-SA"/>
        </w:rPr>
        <w:t>(see SD1; section 2.6) concluded that to</w:t>
      </w:r>
      <w:r w:rsidR="00E31F34">
        <w:rPr>
          <w:lang w:eastAsia="en-AU" w:bidi="ar-SA"/>
        </w:rPr>
        <w:t xml:space="preserve">tal </w:t>
      </w:r>
      <w:r w:rsidR="00A0428C">
        <w:rPr>
          <w:lang w:eastAsia="en-AU" w:bidi="ar-SA"/>
        </w:rPr>
        <w:t>iron intake</w:t>
      </w:r>
      <w:r w:rsidR="00464628">
        <w:rPr>
          <w:lang w:eastAsia="en-AU" w:bidi="ar-SA"/>
        </w:rPr>
        <w:t xml:space="preserve">s </w:t>
      </w:r>
      <w:r w:rsidR="00BA71D1">
        <w:rPr>
          <w:lang w:eastAsia="en-AU" w:bidi="ar-SA"/>
        </w:rPr>
        <w:t xml:space="preserve">are </w:t>
      </w:r>
      <w:r w:rsidR="00E55D90">
        <w:rPr>
          <w:lang w:eastAsia="en-AU" w:bidi="ar-SA"/>
        </w:rPr>
        <w:t>below</w:t>
      </w:r>
      <w:r w:rsidR="00A0428C">
        <w:rPr>
          <w:lang w:eastAsia="en-AU" w:bidi="ar-SA"/>
        </w:rPr>
        <w:t xml:space="preserve"> the </w:t>
      </w:r>
      <w:r w:rsidR="000820D6">
        <w:rPr>
          <w:lang w:eastAsia="en-AU" w:bidi="ar-SA"/>
        </w:rPr>
        <w:t>UL</w:t>
      </w:r>
      <w:r w:rsidR="00A0428C">
        <w:rPr>
          <w:lang w:eastAsia="en-AU" w:bidi="ar-SA"/>
        </w:rPr>
        <w:t xml:space="preserve"> for iron</w:t>
      </w:r>
      <w:r w:rsidR="00464628">
        <w:rPr>
          <w:lang w:eastAsia="en-AU" w:bidi="ar-SA"/>
        </w:rPr>
        <w:t xml:space="preserve"> in all age/sex populations</w:t>
      </w:r>
      <w:r w:rsidR="00E31F34">
        <w:rPr>
          <w:lang w:eastAsia="en-AU" w:bidi="ar-SA"/>
        </w:rPr>
        <w:t>.</w:t>
      </w:r>
      <w:r w:rsidR="00464628">
        <w:rPr>
          <w:lang w:eastAsia="en-AU" w:bidi="ar-SA"/>
        </w:rPr>
        <w:t xml:space="preserve"> Additionally, </w:t>
      </w:r>
      <w:r w:rsidR="00E7344E">
        <w:rPr>
          <w:lang w:eastAsia="en-AU" w:bidi="ar-SA"/>
        </w:rPr>
        <w:t xml:space="preserve">the level of </w:t>
      </w:r>
      <w:r w:rsidR="00464628">
        <w:rPr>
          <w:lang w:eastAsia="en-AU" w:bidi="ar-SA"/>
        </w:rPr>
        <w:t xml:space="preserve">iron claimed in </w:t>
      </w:r>
      <w:r w:rsidR="00E7344E">
        <w:rPr>
          <w:lang w:eastAsia="en-AU" w:bidi="ar-SA"/>
        </w:rPr>
        <w:t>‘</w:t>
      </w:r>
      <w:r w:rsidR="00464628">
        <w:rPr>
          <w:lang w:eastAsia="en-AU" w:bidi="ar-SA"/>
        </w:rPr>
        <w:t>analogues of meat</w:t>
      </w:r>
      <w:r w:rsidR="00E7344E">
        <w:rPr>
          <w:lang w:eastAsia="en-AU" w:bidi="ar-SA"/>
        </w:rPr>
        <w:t>’</w:t>
      </w:r>
      <w:r w:rsidR="00464628">
        <w:rPr>
          <w:lang w:eastAsia="en-AU" w:bidi="ar-SA"/>
        </w:rPr>
        <w:t xml:space="preserve"> </w:t>
      </w:r>
      <w:r w:rsidR="00C97F45">
        <w:rPr>
          <w:lang w:eastAsia="en-AU" w:bidi="ar-SA"/>
        </w:rPr>
        <w:t>is</w:t>
      </w:r>
      <w:r w:rsidR="00464628">
        <w:rPr>
          <w:lang w:eastAsia="en-AU" w:bidi="ar-SA"/>
        </w:rPr>
        <w:t xml:space="preserve"> limited </w:t>
      </w:r>
      <w:r w:rsidR="00E7344E">
        <w:rPr>
          <w:lang w:eastAsia="en-AU" w:bidi="ar-SA"/>
        </w:rPr>
        <w:t xml:space="preserve">by the Code in </w:t>
      </w:r>
      <w:r w:rsidR="00464628">
        <w:rPr>
          <w:lang w:eastAsia="en-AU" w:bidi="ar-SA"/>
        </w:rPr>
        <w:t xml:space="preserve">Schedule 17—4 </w:t>
      </w:r>
      <w:r w:rsidR="00464628" w:rsidRPr="00E7344E">
        <w:rPr>
          <w:i/>
        </w:rPr>
        <w:t>Maximum claim per reference quantity (maximum percentage RDI claim)</w:t>
      </w:r>
      <w:r w:rsidR="00E7344E">
        <w:t xml:space="preserve">, which is likely a deterrent for other manufacturers to add high </w:t>
      </w:r>
      <w:r w:rsidR="00C97F45">
        <w:t>amounts</w:t>
      </w:r>
      <w:r w:rsidR="00E7344E">
        <w:t xml:space="preserve"> of iron into their meat analogue products.</w:t>
      </w:r>
    </w:p>
    <w:p w14:paraId="374483A0" w14:textId="5B97CA11" w:rsidR="00D45057" w:rsidRPr="006716FD" w:rsidRDefault="006716FD" w:rsidP="006716FD">
      <w:pPr>
        <w:pStyle w:val="Heading2"/>
        <w:rPr>
          <w:rFonts w:eastAsia="Calibri"/>
        </w:rPr>
      </w:pPr>
      <w:bookmarkStart w:id="61" w:name="_Toc26980500"/>
      <w:bookmarkStart w:id="62" w:name="_Toc26284648"/>
      <w:r>
        <w:rPr>
          <w:rFonts w:eastAsia="Calibri"/>
        </w:rPr>
        <w:t>3</w:t>
      </w:r>
      <w:r w:rsidR="000B0174" w:rsidRPr="006716FD">
        <w:rPr>
          <w:rFonts w:eastAsia="Calibri"/>
        </w:rPr>
        <w:t>.1</w:t>
      </w:r>
      <w:r w:rsidR="000B0174" w:rsidRPr="006716FD">
        <w:rPr>
          <w:rFonts w:eastAsia="Calibri"/>
        </w:rPr>
        <w:tab/>
      </w:r>
      <w:r w:rsidR="00A23FE9">
        <w:rPr>
          <w:rFonts w:eastAsia="Calibri"/>
        </w:rPr>
        <w:t>Required</w:t>
      </w:r>
      <w:r w:rsidR="00A23FE9" w:rsidRPr="006716FD">
        <w:rPr>
          <w:rFonts w:eastAsia="Calibri"/>
        </w:rPr>
        <w:t xml:space="preserve"> </w:t>
      </w:r>
      <w:r w:rsidR="006E56C1" w:rsidRPr="006716FD">
        <w:rPr>
          <w:rFonts w:eastAsia="Calibri"/>
        </w:rPr>
        <w:t>p</w:t>
      </w:r>
      <w:r w:rsidR="00D45057" w:rsidRPr="006716FD">
        <w:rPr>
          <w:rFonts w:eastAsia="Calibri"/>
        </w:rPr>
        <w:t>ermission of use of soy leghemoglobin in the form of LegH Prep</w:t>
      </w:r>
      <w:bookmarkEnd w:id="61"/>
    </w:p>
    <w:p w14:paraId="60E5762F" w14:textId="0FD1D500" w:rsidR="00D45057" w:rsidRPr="00D45057" w:rsidRDefault="00A23FE9" w:rsidP="00D45057">
      <w:pPr>
        <w:rPr>
          <w:rFonts w:eastAsia="Calibri"/>
          <w:lang w:eastAsia="en-AU" w:bidi="ar-SA"/>
        </w:rPr>
      </w:pPr>
      <w:r>
        <w:rPr>
          <w:rFonts w:eastAsia="Calibri"/>
          <w:lang w:eastAsia="en-AU" w:bidi="ar-SA"/>
        </w:rPr>
        <w:t xml:space="preserve">FSANZ’s assessment suggests that, if </w:t>
      </w:r>
      <w:r w:rsidR="00B30C9A">
        <w:rPr>
          <w:rFonts w:eastAsia="Calibri"/>
          <w:lang w:eastAsia="en-AU" w:bidi="ar-SA"/>
        </w:rPr>
        <w:t xml:space="preserve">a draft variation is prepared to permit </w:t>
      </w:r>
      <w:r>
        <w:rPr>
          <w:rFonts w:eastAsia="Calibri"/>
          <w:lang w:eastAsia="en-AU" w:bidi="ar-SA"/>
        </w:rPr>
        <w:t xml:space="preserve">the use of soy leghemoglobin in the form of LegH Prep, the appropriate </w:t>
      </w:r>
      <w:r w:rsidR="00B30C9A">
        <w:rPr>
          <w:rFonts w:eastAsia="Calibri"/>
          <w:lang w:eastAsia="en-AU" w:bidi="ar-SA"/>
        </w:rPr>
        <w:t xml:space="preserve">form of </w:t>
      </w:r>
      <w:r>
        <w:rPr>
          <w:rFonts w:eastAsia="Calibri"/>
          <w:lang w:eastAsia="en-AU" w:bidi="ar-SA"/>
        </w:rPr>
        <w:t xml:space="preserve">permission would be </w:t>
      </w:r>
      <w:r w:rsidR="000B0174">
        <w:rPr>
          <w:rFonts w:eastAsia="Calibri"/>
          <w:lang w:eastAsia="en-AU" w:bidi="ar-SA"/>
        </w:rPr>
        <w:t xml:space="preserve">as a GM food and </w:t>
      </w:r>
      <w:r w:rsidR="006E56C1">
        <w:rPr>
          <w:rFonts w:eastAsia="Calibri"/>
          <w:lang w:eastAsia="en-AU" w:bidi="ar-SA"/>
        </w:rPr>
        <w:t xml:space="preserve">as </w:t>
      </w:r>
      <w:r w:rsidR="000B0174">
        <w:rPr>
          <w:rFonts w:eastAsia="Calibri"/>
          <w:lang w:eastAsia="en-AU" w:bidi="ar-SA"/>
        </w:rPr>
        <w:t>a permitted form of iron</w:t>
      </w:r>
      <w:r w:rsidR="006E56C1">
        <w:rPr>
          <w:rFonts w:eastAsia="Calibri"/>
          <w:lang w:eastAsia="en-AU" w:bidi="ar-SA"/>
        </w:rPr>
        <w:t>,</w:t>
      </w:r>
      <w:r w:rsidR="000B0174">
        <w:rPr>
          <w:rFonts w:eastAsia="Calibri"/>
          <w:lang w:eastAsia="en-AU" w:bidi="ar-SA"/>
        </w:rPr>
        <w:t xml:space="preserve"> </w:t>
      </w:r>
      <w:r>
        <w:rPr>
          <w:rFonts w:eastAsia="Calibri"/>
          <w:lang w:eastAsia="en-AU" w:bidi="ar-SA"/>
        </w:rPr>
        <w:t xml:space="preserve">and with </w:t>
      </w:r>
      <w:r w:rsidR="000B0174">
        <w:rPr>
          <w:rFonts w:eastAsia="Calibri"/>
          <w:lang w:eastAsia="en-AU" w:bidi="ar-SA"/>
        </w:rPr>
        <w:t>a specification for LegH Prep</w:t>
      </w:r>
      <w:r>
        <w:rPr>
          <w:rFonts w:eastAsia="Calibri"/>
          <w:lang w:eastAsia="en-AU" w:bidi="ar-SA"/>
        </w:rPr>
        <w:t xml:space="preserve"> being included in Schedule 3 of the Code</w:t>
      </w:r>
      <w:r w:rsidR="000B0174">
        <w:rPr>
          <w:rFonts w:eastAsia="Calibri"/>
          <w:lang w:eastAsia="en-AU" w:bidi="ar-SA"/>
        </w:rPr>
        <w:t xml:space="preserve">. </w:t>
      </w:r>
    </w:p>
    <w:p w14:paraId="1279EB54" w14:textId="0D4EFFB5" w:rsidR="00F65C0E" w:rsidRDefault="006716FD" w:rsidP="006716FD">
      <w:pPr>
        <w:pStyle w:val="Heading3"/>
        <w:rPr>
          <w:rFonts w:eastAsia="Calibri"/>
        </w:rPr>
      </w:pPr>
      <w:bookmarkStart w:id="63" w:name="_Toc26980501"/>
      <w:r>
        <w:rPr>
          <w:rFonts w:eastAsia="Calibri"/>
        </w:rPr>
        <w:t>3</w:t>
      </w:r>
      <w:r w:rsidR="006E56C1">
        <w:rPr>
          <w:rFonts w:eastAsia="Calibri"/>
        </w:rPr>
        <w:t>.1.1</w:t>
      </w:r>
      <w:r w:rsidR="006E56C1">
        <w:rPr>
          <w:rFonts w:eastAsia="Calibri"/>
        </w:rPr>
        <w:tab/>
      </w:r>
      <w:r w:rsidR="00D737E7">
        <w:rPr>
          <w:rFonts w:eastAsia="Calibri"/>
        </w:rPr>
        <w:t xml:space="preserve">Maximum </w:t>
      </w:r>
      <w:r w:rsidR="00736D65">
        <w:rPr>
          <w:rFonts w:eastAsia="Calibri"/>
        </w:rPr>
        <w:t xml:space="preserve">permitted </w:t>
      </w:r>
      <w:r w:rsidR="00D737E7">
        <w:rPr>
          <w:rFonts w:eastAsia="Calibri"/>
        </w:rPr>
        <w:t>use level</w:t>
      </w:r>
      <w:r w:rsidR="002A3134">
        <w:rPr>
          <w:rFonts w:eastAsia="Calibri"/>
        </w:rPr>
        <w:t xml:space="preserve"> of soy leghemoglobin</w:t>
      </w:r>
      <w:bookmarkEnd w:id="62"/>
      <w:bookmarkEnd w:id="63"/>
    </w:p>
    <w:p w14:paraId="5931E361" w14:textId="3ED329B9" w:rsidR="00A6763F" w:rsidRDefault="00A6763F" w:rsidP="004C01F6">
      <w:pPr>
        <w:widowControl/>
        <w:rPr>
          <w:rFonts w:eastAsia="Calibri"/>
          <w:szCs w:val="22"/>
          <w:lang w:bidi="ar-SA"/>
        </w:rPr>
      </w:pPr>
      <w:r>
        <w:rPr>
          <w:rFonts w:eastAsia="Calibri"/>
          <w:szCs w:val="22"/>
          <w:lang w:bidi="ar-SA"/>
        </w:rPr>
        <w:t>FSANZ</w:t>
      </w:r>
      <w:r w:rsidR="00136850">
        <w:rPr>
          <w:rFonts w:eastAsia="Calibri"/>
          <w:szCs w:val="22"/>
          <w:lang w:bidi="ar-SA"/>
        </w:rPr>
        <w:t>’s assessment</w:t>
      </w:r>
      <w:r>
        <w:rPr>
          <w:rFonts w:eastAsia="Calibri"/>
          <w:szCs w:val="22"/>
          <w:lang w:bidi="ar-SA"/>
        </w:rPr>
        <w:t xml:space="preserve"> </w:t>
      </w:r>
      <w:r w:rsidR="000B0174">
        <w:rPr>
          <w:rFonts w:eastAsia="Calibri"/>
          <w:szCs w:val="22"/>
          <w:lang w:bidi="ar-SA"/>
        </w:rPr>
        <w:t xml:space="preserve">also </w:t>
      </w:r>
      <w:r w:rsidR="00136850">
        <w:rPr>
          <w:rFonts w:eastAsia="Calibri"/>
          <w:szCs w:val="22"/>
          <w:lang w:bidi="ar-SA"/>
        </w:rPr>
        <w:t xml:space="preserve">had regard to </w:t>
      </w:r>
      <w:r w:rsidR="00C02507">
        <w:rPr>
          <w:rFonts w:eastAsia="Calibri"/>
          <w:szCs w:val="22"/>
          <w:lang w:bidi="ar-SA"/>
        </w:rPr>
        <w:t>whether</w:t>
      </w:r>
      <w:r w:rsidR="00D45057">
        <w:rPr>
          <w:rFonts w:eastAsia="Calibri"/>
          <w:szCs w:val="22"/>
          <w:lang w:bidi="ar-SA"/>
        </w:rPr>
        <w:t xml:space="preserve"> </w:t>
      </w:r>
      <w:r>
        <w:rPr>
          <w:rFonts w:eastAsia="Calibri"/>
          <w:szCs w:val="22"/>
          <w:lang w:bidi="ar-SA"/>
        </w:rPr>
        <w:t>a maximum permitted use level</w:t>
      </w:r>
      <w:r w:rsidR="00BB36D4">
        <w:rPr>
          <w:rFonts w:eastAsia="Calibri"/>
          <w:szCs w:val="22"/>
          <w:lang w:bidi="ar-SA"/>
        </w:rPr>
        <w:t xml:space="preserve"> should be established</w:t>
      </w:r>
      <w:r w:rsidR="00D45057">
        <w:rPr>
          <w:rFonts w:eastAsia="Calibri"/>
          <w:szCs w:val="22"/>
          <w:lang w:bidi="ar-SA"/>
        </w:rPr>
        <w:t xml:space="preserve"> for soy leghemoglobin and</w:t>
      </w:r>
      <w:r>
        <w:rPr>
          <w:rFonts w:eastAsia="Calibri"/>
          <w:szCs w:val="22"/>
          <w:lang w:bidi="ar-SA"/>
        </w:rPr>
        <w:t xml:space="preserve"> if so, </w:t>
      </w:r>
      <w:r w:rsidR="00D45057">
        <w:rPr>
          <w:rFonts w:eastAsia="Calibri"/>
          <w:szCs w:val="22"/>
          <w:lang w:bidi="ar-SA"/>
        </w:rPr>
        <w:t>what would be the</w:t>
      </w:r>
      <w:r w:rsidR="00C02507">
        <w:rPr>
          <w:rFonts w:eastAsia="Calibri"/>
          <w:szCs w:val="22"/>
          <w:lang w:bidi="ar-SA"/>
        </w:rPr>
        <w:t xml:space="preserve"> appropriate </w:t>
      </w:r>
      <w:r>
        <w:rPr>
          <w:rFonts w:eastAsia="Calibri"/>
          <w:szCs w:val="22"/>
          <w:lang w:bidi="ar-SA"/>
        </w:rPr>
        <w:t>level.</w:t>
      </w:r>
    </w:p>
    <w:p w14:paraId="740175AD" w14:textId="77777777" w:rsidR="00A6763F" w:rsidRDefault="00A6763F" w:rsidP="004C01F6">
      <w:pPr>
        <w:widowControl/>
        <w:rPr>
          <w:rFonts w:eastAsia="Calibri"/>
          <w:szCs w:val="22"/>
          <w:lang w:bidi="ar-SA"/>
        </w:rPr>
      </w:pPr>
    </w:p>
    <w:p w14:paraId="2B4F74CD" w14:textId="51B875FD" w:rsidR="003A5DC1" w:rsidRDefault="00A64A24" w:rsidP="004C01F6">
      <w:pPr>
        <w:widowControl/>
        <w:rPr>
          <w:rFonts w:eastAsia="Calibri"/>
          <w:szCs w:val="22"/>
          <w:lang w:bidi="ar-SA"/>
        </w:rPr>
      </w:pPr>
      <w:r>
        <w:rPr>
          <w:rFonts w:eastAsia="Calibri"/>
          <w:szCs w:val="22"/>
          <w:lang w:bidi="ar-SA"/>
        </w:rPr>
        <w:t xml:space="preserve">In the absence of safety data and information for LegH Prep containing soy leghemoglobin levels above 0.8%, </w:t>
      </w:r>
      <w:r w:rsidR="00136850">
        <w:rPr>
          <w:rFonts w:eastAsia="Calibri"/>
          <w:szCs w:val="22"/>
          <w:lang w:bidi="ar-SA"/>
        </w:rPr>
        <w:t>the imposition of</w:t>
      </w:r>
      <w:r>
        <w:rPr>
          <w:rFonts w:eastAsia="Calibri"/>
          <w:szCs w:val="22"/>
          <w:lang w:bidi="ar-SA"/>
        </w:rPr>
        <w:t xml:space="preserve"> a maximum permitted use level</w:t>
      </w:r>
      <w:r w:rsidR="00136850">
        <w:rPr>
          <w:rFonts w:eastAsia="Calibri"/>
          <w:szCs w:val="22"/>
          <w:lang w:bidi="ar-SA"/>
        </w:rPr>
        <w:t xml:space="preserve"> would appear warranted.</w:t>
      </w:r>
      <w:r>
        <w:rPr>
          <w:rFonts w:eastAsia="Calibri"/>
          <w:szCs w:val="22"/>
          <w:lang w:bidi="ar-SA"/>
        </w:rPr>
        <w:t xml:space="preserve"> Additionally, the application indicates palatability starts to be impacted at </w:t>
      </w:r>
      <w:r w:rsidR="00547D55">
        <w:rPr>
          <w:rFonts w:eastAsia="Calibri"/>
          <w:szCs w:val="22"/>
          <w:lang w:bidi="ar-SA"/>
        </w:rPr>
        <w:t>level</w:t>
      </w:r>
      <w:r>
        <w:rPr>
          <w:rFonts w:eastAsia="Calibri"/>
          <w:szCs w:val="22"/>
          <w:lang w:bidi="ar-SA"/>
        </w:rPr>
        <w:t>s</w:t>
      </w:r>
      <w:r w:rsidR="00D737E7">
        <w:rPr>
          <w:rFonts w:eastAsia="Calibri"/>
          <w:szCs w:val="22"/>
          <w:lang w:bidi="ar-SA"/>
        </w:rPr>
        <w:t xml:space="preserve"> </w:t>
      </w:r>
      <w:r>
        <w:rPr>
          <w:rFonts w:eastAsia="Calibri"/>
          <w:szCs w:val="22"/>
          <w:lang w:bidi="ar-SA"/>
        </w:rPr>
        <w:t xml:space="preserve">beyond </w:t>
      </w:r>
      <w:r w:rsidR="00D737E7">
        <w:rPr>
          <w:rFonts w:eastAsia="Calibri"/>
          <w:szCs w:val="22"/>
          <w:lang w:bidi="ar-SA"/>
        </w:rPr>
        <w:t>0.8% soy leghemoglobin</w:t>
      </w:r>
      <w:r w:rsidR="00A0428C">
        <w:rPr>
          <w:lang w:val="en-AU"/>
        </w:rPr>
        <w:t xml:space="preserve">. </w:t>
      </w:r>
      <w:r>
        <w:rPr>
          <w:lang w:val="en-AU"/>
        </w:rPr>
        <w:t>The applicant also claims t</w:t>
      </w:r>
      <w:r w:rsidR="00D45057">
        <w:rPr>
          <w:lang w:val="en-AU"/>
        </w:rPr>
        <w:t xml:space="preserve">his level </w:t>
      </w:r>
      <w:r w:rsidR="00D45057">
        <w:rPr>
          <w:rFonts w:eastAsia="Calibri"/>
          <w:szCs w:val="22"/>
          <w:lang w:bidi="ar-SA"/>
        </w:rPr>
        <w:t>align</w:t>
      </w:r>
      <w:r>
        <w:rPr>
          <w:rFonts w:eastAsia="Calibri"/>
          <w:szCs w:val="22"/>
          <w:lang w:bidi="ar-SA"/>
        </w:rPr>
        <w:t>s</w:t>
      </w:r>
      <w:r w:rsidR="00547D55">
        <w:rPr>
          <w:rFonts w:eastAsia="Calibri"/>
          <w:szCs w:val="22"/>
          <w:lang w:bidi="ar-SA"/>
        </w:rPr>
        <w:t xml:space="preserve"> with the lower end of </w:t>
      </w:r>
      <w:r w:rsidR="00A0428C">
        <w:rPr>
          <w:rFonts w:eastAsia="Calibri"/>
          <w:szCs w:val="22"/>
          <w:lang w:bidi="ar-SA"/>
        </w:rPr>
        <w:t xml:space="preserve">the range of </w:t>
      </w:r>
      <w:r w:rsidR="00547D55">
        <w:rPr>
          <w:rFonts w:eastAsia="Calibri"/>
          <w:szCs w:val="22"/>
          <w:lang w:bidi="ar-SA"/>
        </w:rPr>
        <w:t xml:space="preserve">myoglobin content in red meat (0.8 </w:t>
      </w:r>
      <w:r w:rsidR="00BB36D4">
        <w:rPr>
          <w:rFonts w:eastAsia="Calibri"/>
          <w:szCs w:val="22"/>
          <w:lang w:bidi="ar-SA"/>
        </w:rPr>
        <w:t>–</w:t>
      </w:r>
      <w:r w:rsidR="00547D55">
        <w:rPr>
          <w:rFonts w:eastAsia="Calibri"/>
          <w:szCs w:val="22"/>
          <w:lang w:bidi="ar-SA"/>
        </w:rPr>
        <w:t xml:space="preserve"> 1.8%) (</w:t>
      </w:r>
      <w:r w:rsidR="00547D55" w:rsidRPr="00204C4D">
        <w:rPr>
          <w:lang w:val="en-AU"/>
        </w:rPr>
        <w:t>Texas A&amp;M Institute, 2019</w:t>
      </w:r>
      <w:r w:rsidR="00547D55">
        <w:rPr>
          <w:lang w:val="en-AU"/>
        </w:rPr>
        <w:t>).</w:t>
      </w:r>
      <w:r w:rsidR="00547D55">
        <w:rPr>
          <w:rFonts w:eastAsia="Calibri"/>
          <w:szCs w:val="22"/>
          <w:lang w:bidi="ar-SA"/>
        </w:rPr>
        <w:t xml:space="preserve"> </w:t>
      </w:r>
      <w:r w:rsidR="00BB36D4">
        <w:rPr>
          <w:rFonts w:eastAsia="Calibri"/>
          <w:szCs w:val="22"/>
          <w:lang w:bidi="ar-SA"/>
        </w:rPr>
        <w:t xml:space="preserve">Because </w:t>
      </w:r>
      <w:r w:rsidR="00A0428C">
        <w:rPr>
          <w:rFonts w:eastAsia="Calibri"/>
          <w:szCs w:val="22"/>
          <w:lang w:bidi="ar-SA"/>
        </w:rPr>
        <w:t>a</w:t>
      </w:r>
      <w:r w:rsidR="00BB36D4">
        <w:rPr>
          <w:rFonts w:eastAsia="Calibri"/>
          <w:szCs w:val="22"/>
          <w:lang w:bidi="ar-SA"/>
        </w:rPr>
        <w:t xml:space="preserve"> permission </w:t>
      </w:r>
      <w:r w:rsidR="00A0428C">
        <w:rPr>
          <w:rFonts w:eastAsia="Calibri"/>
          <w:szCs w:val="22"/>
          <w:lang w:bidi="ar-SA"/>
        </w:rPr>
        <w:t xml:space="preserve">in the Code </w:t>
      </w:r>
      <w:r w:rsidR="00BB36D4">
        <w:rPr>
          <w:rFonts w:eastAsia="Calibri"/>
          <w:szCs w:val="22"/>
          <w:lang w:bidi="ar-SA"/>
        </w:rPr>
        <w:t>may become generic in the future,</w:t>
      </w:r>
      <w:r w:rsidR="00547D55">
        <w:rPr>
          <w:rFonts w:eastAsia="Calibri"/>
          <w:szCs w:val="22"/>
          <w:lang w:bidi="ar-SA"/>
        </w:rPr>
        <w:t xml:space="preserve"> </w:t>
      </w:r>
      <w:r w:rsidR="00D227B2">
        <w:rPr>
          <w:rFonts w:eastAsia="Calibri"/>
          <w:szCs w:val="22"/>
          <w:lang w:bidi="ar-SA"/>
        </w:rPr>
        <w:t>FSANZ</w:t>
      </w:r>
      <w:r w:rsidR="00136850">
        <w:rPr>
          <w:rFonts w:eastAsia="Calibri"/>
          <w:szCs w:val="22"/>
          <w:lang w:bidi="ar-SA"/>
        </w:rPr>
        <w:t>’s preliminary view is</w:t>
      </w:r>
      <w:r w:rsidR="00D227B2">
        <w:rPr>
          <w:rFonts w:eastAsia="Calibri"/>
          <w:szCs w:val="22"/>
          <w:lang w:bidi="ar-SA"/>
        </w:rPr>
        <w:t xml:space="preserve"> that a maximum permitted use level should be set at no higher than </w:t>
      </w:r>
      <w:r w:rsidR="00A0428C">
        <w:rPr>
          <w:rFonts w:eastAsia="Calibri"/>
          <w:szCs w:val="22"/>
          <w:lang w:bidi="ar-SA"/>
        </w:rPr>
        <w:t xml:space="preserve">the </w:t>
      </w:r>
      <w:r w:rsidR="00E43FE8">
        <w:rPr>
          <w:rFonts w:eastAsia="Calibri"/>
          <w:szCs w:val="22"/>
          <w:lang w:bidi="ar-SA"/>
        </w:rPr>
        <w:t xml:space="preserve">proposed </w:t>
      </w:r>
      <w:r w:rsidR="00A0428C">
        <w:rPr>
          <w:rFonts w:eastAsia="Calibri"/>
          <w:szCs w:val="22"/>
          <w:lang w:bidi="ar-SA"/>
        </w:rPr>
        <w:t>maximum</w:t>
      </w:r>
      <w:r w:rsidR="00E43FE8">
        <w:rPr>
          <w:rFonts w:eastAsia="Calibri"/>
          <w:szCs w:val="22"/>
          <w:lang w:bidi="ar-SA"/>
        </w:rPr>
        <w:t xml:space="preserve"> use level</w:t>
      </w:r>
      <w:r w:rsidR="00A0428C">
        <w:rPr>
          <w:rFonts w:eastAsia="Calibri"/>
          <w:szCs w:val="22"/>
          <w:lang w:bidi="ar-SA"/>
        </w:rPr>
        <w:t xml:space="preserve"> of 0.8%</w:t>
      </w:r>
      <w:r w:rsidR="00A6763F">
        <w:rPr>
          <w:rFonts w:eastAsia="Calibri"/>
          <w:szCs w:val="22"/>
          <w:lang w:bidi="ar-SA"/>
        </w:rPr>
        <w:t xml:space="preserve">. </w:t>
      </w:r>
    </w:p>
    <w:p w14:paraId="5653BF6B" w14:textId="3781A539" w:rsidR="00FC00CE" w:rsidRPr="00D737E7" w:rsidRDefault="006716FD" w:rsidP="006716FD">
      <w:pPr>
        <w:pStyle w:val="Heading2"/>
      </w:pPr>
      <w:bookmarkStart w:id="64" w:name="_Toc26284649"/>
      <w:bookmarkStart w:id="65" w:name="_Toc26980502"/>
      <w:r>
        <w:t>3</w:t>
      </w:r>
      <w:r w:rsidR="00FC00CE" w:rsidRPr="00D737E7">
        <w:t>.</w:t>
      </w:r>
      <w:r w:rsidR="005E3E0E" w:rsidRPr="00D737E7">
        <w:t>2</w:t>
      </w:r>
      <w:r w:rsidR="00FC00CE" w:rsidRPr="00D737E7">
        <w:tab/>
        <w:t>Labelling requirements</w:t>
      </w:r>
      <w:bookmarkEnd w:id="64"/>
      <w:bookmarkEnd w:id="65"/>
    </w:p>
    <w:p w14:paraId="3D1072AC" w14:textId="78FF3B57" w:rsidR="000959B0" w:rsidRDefault="006B3BC9" w:rsidP="004C01F6">
      <w:pPr>
        <w:widowControl/>
      </w:pPr>
      <w:r>
        <w:t xml:space="preserve">Existing mandatory requirements for the statement of ingredients, nutrition labelling and declarations of certain (allergenic) substances </w:t>
      </w:r>
      <w:r w:rsidR="00136850">
        <w:t xml:space="preserve">would </w:t>
      </w:r>
      <w:r>
        <w:t>apply</w:t>
      </w:r>
      <w:r w:rsidR="00C31950">
        <w:t xml:space="preserve"> to meat analogue products containing soy leghemoglobin</w:t>
      </w:r>
      <w:r>
        <w:t xml:space="preserve">. Further, existing </w:t>
      </w:r>
      <w:r w:rsidR="00D21242">
        <w:t xml:space="preserve">claim </w:t>
      </w:r>
      <w:r>
        <w:t xml:space="preserve">requirements and conditions </w:t>
      </w:r>
      <w:r w:rsidR="00136850">
        <w:t xml:space="preserve">would </w:t>
      </w:r>
      <w:r>
        <w:t>apply if voluntary claims are made</w:t>
      </w:r>
      <w:r w:rsidR="00C31950">
        <w:t xml:space="preserve"> on these products</w:t>
      </w:r>
      <w:r>
        <w:t xml:space="preserve">.  </w:t>
      </w:r>
    </w:p>
    <w:p w14:paraId="62D36002" w14:textId="29DE318E" w:rsidR="00D3171B" w:rsidRDefault="006716FD" w:rsidP="006716FD">
      <w:pPr>
        <w:pStyle w:val="Heading3"/>
      </w:pPr>
      <w:bookmarkStart w:id="66" w:name="_Toc26980503"/>
      <w:r>
        <w:t>3</w:t>
      </w:r>
      <w:r w:rsidR="000959B0">
        <w:t>.</w:t>
      </w:r>
      <w:r w:rsidR="005E3E0E">
        <w:t>2</w:t>
      </w:r>
      <w:r w:rsidR="000959B0">
        <w:t>.</w:t>
      </w:r>
      <w:r w:rsidR="00FC00CE">
        <w:t>1</w:t>
      </w:r>
      <w:r w:rsidR="000959B0">
        <w:tab/>
        <w:t>Statement of ingredients</w:t>
      </w:r>
      <w:bookmarkEnd w:id="66"/>
    </w:p>
    <w:p w14:paraId="413883E1" w14:textId="6FD6682D" w:rsidR="001C64BE" w:rsidRDefault="001C64BE" w:rsidP="004C01F6">
      <w:pPr>
        <w:widowControl/>
        <w:rPr>
          <w:lang w:bidi="ar-SA"/>
        </w:rPr>
      </w:pPr>
      <w:r>
        <w:rPr>
          <w:lang w:bidi="ar-SA"/>
        </w:rPr>
        <w:t xml:space="preserve">Generic labelling provisions in section 1.2.4—4 </w:t>
      </w:r>
      <w:r w:rsidR="00FC4256">
        <w:rPr>
          <w:lang w:bidi="ar-SA"/>
        </w:rPr>
        <w:t xml:space="preserve">of Standard 1.2.4 </w:t>
      </w:r>
      <w:r w:rsidR="00083AB4">
        <w:rPr>
          <w:lang w:bidi="ar-SA"/>
        </w:rPr>
        <w:t>–</w:t>
      </w:r>
      <w:r w:rsidR="00FC4256">
        <w:rPr>
          <w:lang w:bidi="ar-SA"/>
        </w:rPr>
        <w:t xml:space="preserve"> </w:t>
      </w:r>
      <w:r w:rsidR="00371637" w:rsidRPr="00FC4256">
        <w:rPr>
          <w:i/>
          <w:lang w:bidi="ar-SA"/>
        </w:rPr>
        <w:t xml:space="preserve">Information requirements – statement of ingredients </w:t>
      </w:r>
      <w:r>
        <w:rPr>
          <w:lang w:bidi="ar-SA"/>
        </w:rPr>
        <w:t xml:space="preserve">require ingredients to be identified </w:t>
      </w:r>
      <w:r w:rsidR="00E073E5">
        <w:rPr>
          <w:lang w:bidi="ar-SA"/>
        </w:rPr>
        <w:t xml:space="preserve">in a statement of ingredients on food labels </w:t>
      </w:r>
      <w:r>
        <w:rPr>
          <w:lang w:bidi="ar-SA"/>
        </w:rPr>
        <w:t xml:space="preserve">using a name by which they are commonly known, or a name that describes its true nature, or a generic ingredient name if one is specified in Schedule 10 – </w:t>
      </w:r>
      <w:r w:rsidRPr="00FC4256">
        <w:rPr>
          <w:i/>
          <w:lang w:bidi="ar-SA"/>
        </w:rPr>
        <w:t>Generic names of ingredients and conditions for their use</w:t>
      </w:r>
      <w:r>
        <w:rPr>
          <w:lang w:bidi="ar-SA"/>
        </w:rPr>
        <w:t>.</w:t>
      </w:r>
      <w:r w:rsidR="00E073E5">
        <w:rPr>
          <w:lang w:bidi="ar-SA"/>
        </w:rPr>
        <w:t xml:space="preserve"> There is no requirement for a statement of ingredients </w:t>
      </w:r>
      <w:r w:rsidR="00FC4256">
        <w:rPr>
          <w:lang w:bidi="ar-SA"/>
        </w:rPr>
        <w:t xml:space="preserve">to be present </w:t>
      </w:r>
      <w:r w:rsidR="00A35C4E">
        <w:rPr>
          <w:lang w:bidi="ar-SA"/>
        </w:rPr>
        <w:t xml:space="preserve">on the label of a </w:t>
      </w:r>
      <w:r w:rsidR="00E073E5">
        <w:rPr>
          <w:lang w:bidi="ar-SA"/>
        </w:rPr>
        <w:t>food for sale that is not required to bear a label</w:t>
      </w:r>
      <w:r w:rsidR="00893859">
        <w:rPr>
          <w:lang w:bidi="ar-SA"/>
        </w:rPr>
        <w:t xml:space="preserve">. </w:t>
      </w:r>
    </w:p>
    <w:p w14:paraId="61752445" w14:textId="214AE2DE" w:rsidR="000959B0" w:rsidRDefault="000959B0" w:rsidP="004C01F6">
      <w:pPr>
        <w:widowControl/>
        <w:rPr>
          <w:lang w:eastAsia="en-AU" w:bidi="ar-SA"/>
        </w:rPr>
      </w:pPr>
    </w:p>
    <w:p w14:paraId="5716BC65" w14:textId="44F2F2EE" w:rsidR="00B10A5D" w:rsidRDefault="00136850" w:rsidP="00B10A5D">
      <w:pPr>
        <w:widowControl/>
        <w:rPr>
          <w:lang w:eastAsia="en-AU" w:bidi="ar-SA"/>
        </w:rPr>
      </w:pPr>
      <w:r>
        <w:rPr>
          <w:rFonts w:eastAsia="Calibri"/>
          <w:szCs w:val="22"/>
          <w:lang w:bidi="ar-SA"/>
        </w:rPr>
        <w:t xml:space="preserve">FSANZ’s preliminary view is that these </w:t>
      </w:r>
      <w:r w:rsidR="00D21242">
        <w:rPr>
          <w:lang w:eastAsia="en-AU" w:bidi="ar-SA"/>
        </w:rPr>
        <w:t xml:space="preserve">generic </w:t>
      </w:r>
      <w:r w:rsidR="00B10A5D">
        <w:rPr>
          <w:lang w:eastAsia="en-AU" w:bidi="ar-SA"/>
        </w:rPr>
        <w:t xml:space="preserve">requirements </w:t>
      </w:r>
      <w:r>
        <w:rPr>
          <w:lang w:eastAsia="en-AU" w:bidi="ar-SA"/>
        </w:rPr>
        <w:t>appear appropriate</w:t>
      </w:r>
      <w:r w:rsidR="00D21242">
        <w:rPr>
          <w:lang w:eastAsia="en-AU" w:bidi="ar-SA"/>
        </w:rPr>
        <w:t xml:space="preserve"> </w:t>
      </w:r>
      <w:r w:rsidR="00B10A5D">
        <w:rPr>
          <w:lang w:eastAsia="en-AU" w:bidi="ar-SA"/>
        </w:rPr>
        <w:t xml:space="preserve">for the declaration of this ingredient in the statement of ingredients. </w:t>
      </w:r>
    </w:p>
    <w:p w14:paraId="7A0B6162" w14:textId="6D0D18A6" w:rsidR="00515E8D" w:rsidRDefault="006716FD" w:rsidP="006716FD">
      <w:pPr>
        <w:pStyle w:val="Heading3"/>
      </w:pPr>
      <w:bookmarkStart w:id="67" w:name="_Toc26980504"/>
      <w:r>
        <w:t>3</w:t>
      </w:r>
      <w:r w:rsidR="00515E8D">
        <w:t>.</w:t>
      </w:r>
      <w:r w:rsidR="005E3E0E">
        <w:t>2</w:t>
      </w:r>
      <w:r w:rsidR="00515E8D">
        <w:t>.2</w:t>
      </w:r>
      <w:r w:rsidR="00515E8D">
        <w:tab/>
        <w:t>Mandatory nutrition information</w:t>
      </w:r>
      <w:bookmarkEnd w:id="67"/>
    </w:p>
    <w:p w14:paraId="776EDC7C" w14:textId="10EDCE89" w:rsidR="00515E8D" w:rsidRDefault="00515E8D" w:rsidP="004C01F6">
      <w:pPr>
        <w:widowControl/>
        <w:rPr>
          <w:lang w:eastAsia="en-AU" w:bidi="ar-SA"/>
        </w:rPr>
      </w:pPr>
      <w:r>
        <w:rPr>
          <w:lang w:eastAsia="en-AU" w:bidi="ar-SA"/>
        </w:rPr>
        <w:t xml:space="preserve">Paragraph 1.2.8—6(1)(d)(ii) of Standard 1.2.8 </w:t>
      </w:r>
      <w:r w:rsidR="00083AB4">
        <w:rPr>
          <w:lang w:eastAsia="en-AU" w:bidi="ar-SA"/>
        </w:rPr>
        <w:t>–</w:t>
      </w:r>
      <w:r w:rsidR="00FC4256">
        <w:rPr>
          <w:lang w:eastAsia="en-AU" w:bidi="ar-SA"/>
        </w:rPr>
        <w:t xml:space="preserve"> </w:t>
      </w:r>
      <w:r w:rsidRPr="00FC4256">
        <w:rPr>
          <w:i/>
          <w:lang w:eastAsia="en-AU" w:bidi="ar-SA"/>
        </w:rPr>
        <w:t>Nutrition information requirements</w:t>
      </w:r>
      <w:r>
        <w:rPr>
          <w:lang w:eastAsia="en-AU" w:bidi="ar-SA"/>
        </w:rPr>
        <w:t xml:space="preserve"> requires the nutrition information panel (NIP) on a package of food to include the average quantity of protein for a serving of the food and a unit quantity of the food. </w:t>
      </w:r>
    </w:p>
    <w:p w14:paraId="5C73364C" w14:textId="77777777" w:rsidR="00515E8D" w:rsidRDefault="00515E8D" w:rsidP="004C01F6">
      <w:pPr>
        <w:widowControl/>
        <w:rPr>
          <w:lang w:eastAsia="en-AU" w:bidi="ar-SA"/>
        </w:rPr>
      </w:pPr>
    </w:p>
    <w:p w14:paraId="26E2B498" w14:textId="65E4D467" w:rsidR="00515E8D" w:rsidRDefault="00515E8D" w:rsidP="004C01F6">
      <w:pPr>
        <w:widowControl/>
        <w:rPr>
          <w:lang w:eastAsia="en-AU" w:bidi="ar-SA"/>
        </w:rPr>
      </w:pPr>
      <w:r>
        <w:rPr>
          <w:lang w:eastAsia="en-AU" w:bidi="ar-SA"/>
        </w:rPr>
        <w:t xml:space="preserve">The addition </w:t>
      </w:r>
      <w:r w:rsidRPr="00FC4256">
        <w:rPr>
          <w:lang w:eastAsia="en-AU" w:bidi="ar-SA"/>
        </w:rPr>
        <w:t xml:space="preserve">of soy leghemoglobin </w:t>
      </w:r>
      <w:r>
        <w:rPr>
          <w:lang w:eastAsia="en-AU" w:bidi="ar-SA"/>
        </w:rPr>
        <w:t>as an ingredient</w:t>
      </w:r>
      <w:r w:rsidR="00136850">
        <w:rPr>
          <w:lang w:eastAsia="en-AU" w:bidi="ar-SA"/>
        </w:rPr>
        <w:t>, if permitted,</w:t>
      </w:r>
      <w:r>
        <w:rPr>
          <w:lang w:eastAsia="en-AU" w:bidi="ar-SA"/>
        </w:rPr>
        <w:t xml:space="preserve"> would not trigger a mandatory declaration for iron </w:t>
      </w:r>
      <w:r w:rsidR="00FC4256">
        <w:rPr>
          <w:lang w:eastAsia="en-AU" w:bidi="ar-SA"/>
        </w:rPr>
        <w:t>i</w:t>
      </w:r>
      <w:r w:rsidR="00F94FEA">
        <w:rPr>
          <w:lang w:eastAsia="en-AU" w:bidi="ar-SA"/>
        </w:rPr>
        <w:t xml:space="preserve">n the </w:t>
      </w:r>
      <w:r>
        <w:rPr>
          <w:lang w:eastAsia="en-AU" w:bidi="ar-SA"/>
        </w:rPr>
        <w:t>NIP unless a claim requiring nutrition information (a nutrition content claim or a health claim) is made. However, if such a claim is made, the NIP must include a declaration about the presence of iron in accordance with subparagraph 1.2.8—6(1)(d)(iv)</w:t>
      </w:r>
      <w:r w:rsidR="00893859">
        <w:rPr>
          <w:lang w:eastAsia="en-AU" w:bidi="ar-SA"/>
        </w:rPr>
        <w:t xml:space="preserve">. </w:t>
      </w:r>
    </w:p>
    <w:p w14:paraId="682EFFC9" w14:textId="1DDE6275" w:rsidR="000959B0" w:rsidRDefault="006716FD" w:rsidP="006716FD">
      <w:pPr>
        <w:pStyle w:val="Heading3"/>
      </w:pPr>
      <w:bookmarkStart w:id="68" w:name="_Toc26980505"/>
      <w:r>
        <w:t>3</w:t>
      </w:r>
      <w:r w:rsidR="00FC00CE">
        <w:t>.</w:t>
      </w:r>
      <w:r w:rsidR="005E3E0E">
        <w:t>2</w:t>
      </w:r>
      <w:r w:rsidR="00FC00CE">
        <w:t>.</w:t>
      </w:r>
      <w:r w:rsidR="00515E8D">
        <w:t>3</w:t>
      </w:r>
      <w:r w:rsidR="000959B0">
        <w:tab/>
        <w:t>Voluntary representations</w:t>
      </w:r>
      <w:bookmarkEnd w:id="68"/>
      <w:r w:rsidR="003627BD">
        <w:t xml:space="preserve"> </w:t>
      </w:r>
    </w:p>
    <w:p w14:paraId="6A82FE41" w14:textId="260B141F" w:rsidR="007229B2" w:rsidRDefault="007229B2" w:rsidP="004C01F6">
      <w:pPr>
        <w:widowControl/>
        <w:rPr>
          <w:rFonts w:cs="Arial"/>
        </w:rPr>
      </w:pPr>
      <w:r w:rsidRPr="00334D65">
        <w:rPr>
          <w:rFonts w:cs="Arial"/>
        </w:rPr>
        <w:t xml:space="preserve">As a result of the </w:t>
      </w:r>
      <w:r w:rsidR="00C4006E" w:rsidRPr="00446855">
        <w:rPr>
          <w:rFonts w:cs="Arial"/>
        </w:rPr>
        <w:t xml:space="preserve">risk </w:t>
      </w:r>
      <w:r w:rsidR="006048D4">
        <w:rPr>
          <w:rFonts w:cs="Arial"/>
        </w:rPr>
        <w:t xml:space="preserve">and technical </w:t>
      </w:r>
      <w:r w:rsidRPr="00446855">
        <w:rPr>
          <w:rFonts w:cs="Arial"/>
        </w:rPr>
        <w:t>assessment (SD1</w:t>
      </w:r>
      <w:r>
        <w:rPr>
          <w:rFonts w:cs="Arial"/>
        </w:rPr>
        <w:t>)</w:t>
      </w:r>
      <w:r w:rsidRPr="00334D65">
        <w:rPr>
          <w:rFonts w:cs="Arial"/>
        </w:rPr>
        <w:t>, FSANZ has concluded th</w:t>
      </w:r>
      <w:r w:rsidRPr="00FC4256">
        <w:rPr>
          <w:rFonts w:cs="Arial"/>
        </w:rPr>
        <w:t>at soy leghemogloblin</w:t>
      </w:r>
      <w:r w:rsidR="00136850">
        <w:rPr>
          <w:rFonts w:cs="Arial"/>
        </w:rPr>
        <w:t>, if permitted,</w:t>
      </w:r>
      <w:r w:rsidRPr="00FC4256">
        <w:rPr>
          <w:rFonts w:cs="Arial"/>
        </w:rPr>
        <w:t xml:space="preserve"> has </w:t>
      </w:r>
      <w:r w:rsidRPr="00334D65">
        <w:rPr>
          <w:rFonts w:cs="Arial"/>
        </w:rPr>
        <w:t xml:space="preserve">the potential to be used as a source of </w:t>
      </w:r>
      <w:r>
        <w:rPr>
          <w:rFonts w:cs="Arial"/>
        </w:rPr>
        <w:t>iron</w:t>
      </w:r>
      <w:r w:rsidRPr="00334D65">
        <w:rPr>
          <w:rFonts w:cs="Arial"/>
        </w:rPr>
        <w:t xml:space="preserve">. </w:t>
      </w:r>
      <w:r w:rsidR="000E50E9">
        <w:rPr>
          <w:rFonts w:cs="Arial"/>
        </w:rPr>
        <w:t>Use of s</w:t>
      </w:r>
      <w:r w:rsidRPr="00FC4256">
        <w:rPr>
          <w:rFonts w:cs="Arial"/>
        </w:rPr>
        <w:t xml:space="preserve">oy leghemoglobin </w:t>
      </w:r>
      <w:r w:rsidR="000E50E9">
        <w:rPr>
          <w:rFonts w:cs="Arial"/>
        </w:rPr>
        <w:t xml:space="preserve">as an ingredient in the amount indicated by the </w:t>
      </w:r>
      <w:r w:rsidR="00692837">
        <w:rPr>
          <w:rFonts w:cs="Arial"/>
        </w:rPr>
        <w:t>applicant</w:t>
      </w:r>
      <w:r w:rsidR="000E50E9">
        <w:rPr>
          <w:rFonts w:cs="Arial"/>
        </w:rPr>
        <w:t xml:space="preserve"> may </w:t>
      </w:r>
      <w:r>
        <w:rPr>
          <w:rFonts w:cs="Arial"/>
        </w:rPr>
        <w:t xml:space="preserve">meet the requirements for making a </w:t>
      </w:r>
      <w:r w:rsidR="00E13445">
        <w:rPr>
          <w:rFonts w:cs="Arial"/>
        </w:rPr>
        <w:t>‘</w:t>
      </w:r>
      <w:r>
        <w:rPr>
          <w:rFonts w:cs="Arial"/>
        </w:rPr>
        <w:t>good source</w:t>
      </w:r>
      <w:r w:rsidR="00E13445">
        <w:rPr>
          <w:rFonts w:cs="Arial"/>
        </w:rPr>
        <w:t>’</w:t>
      </w:r>
      <w:r>
        <w:rPr>
          <w:rFonts w:cs="Arial"/>
        </w:rPr>
        <w:t xml:space="preserve"> nutrition content claim in relation to its iron co</w:t>
      </w:r>
      <w:r w:rsidRPr="00334D65">
        <w:rPr>
          <w:rFonts w:cs="Arial"/>
        </w:rPr>
        <w:t>ntent</w:t>
      </w:r>
      <w:r>
        <w:rPr>
          <w:rFonts w:cs="Arial"/>
        </w:rPr>
        <w:t xml:space="preserve">. The conditions for making such claims are set out in section S4—3 of Schedule 4 and other nutrition content claim requirements are set out in Standard 1.2.7 </w:t>
      </w:r>
      <w:r w:rsidR="00E43FE8">
        <w:rPr>
          <w:rFonts w:cs="Arial"/>
        </w:rPr>
        <w:t xml:space="preserve">– </w:t>
      </w:r>
      <w:r w:rsidRPr="00C41BA7">
        <w:rPr>
          <w:rFonts w:cs="Arial"/>
          <w:i/>
        </w:rPr>
        <w:t>Nutrition, health and related claims</w:t>
      </w:r>
      <w:r>
        <w:rPr>
          <w:rFonts w:cs="Arial"/>
        </w:rPr>
        <w:t xml:space="preserve">. </w:t>
      </w:r>
      <w:r w:rsidR="007034B1">
        <w:rPr>
          <w:rFonts w:cs="Arial"/>
        </w:rPr>
        <w:t>Claims that directly or indirectly compare the vitamin or mineral content of a food with that of another food must not be made unless already permitted by the Code (section 1.2.7—9).</w:t>
      </w:r>
    </w:p>
    <w:p w14:paraId="30D6B2CB" w14:textId="38A5C422" w:rsidR="000959B0" w:rsidRDefault="000959B0" w:rsidP="004C01F6">
      <w:pPr>
        <w:widowControl/>
        <w:rPr>
          <w:lang w:eastAsia="en-AU" w:bidi="ar-SA"/>
        </w:rPr>
      </w:pPr>
    </w:p>
    <w:p w14:paraId="3E286B0A" w14:textId="2E0A3B21" w:rsidR="00FC00CE" w:rsidRDefault="007229B2" w:rsidP="004C01F6">
      <w:pPr>
        <w:widowControl/>
        <w:rPr>
          <w:lang w:eastAsia="en-AU" w:bidi="ar-SA"/>
        </w:rPr>
      </w:pPr>
      <w:r>
        <w:rPr>
          <w:lang w:eastAsia="en-AU" w:bidi="ar-SA"/>
        </w:rPr>
        <w:t>Food that meets the general claim conditions for making nu</w:t>
      </w:r>
      <w:r w:rsidR="000E50E9">
        <w:rPr>
          <w:lang w:eastAsia="en-AU" w:bidi="ar-SA"/>
        </w:rPr>
        <w:t>trition content claim</w:t>
      </w:r>
      <w:r w:rsidR="00612BC8">
        <w:rPr>
          <w:lang w:eastAsia="en-AU" w:bidi="ar-SA"/>
        </w:rPr>
        <w:t>s</w:t>
      </w:r>
      <w:r w:rsidR="000E50E9">
        <w:rPr>
          <w:lang w:eastAsia="en-AU" w:bidi="ar-SA"/>
        </w:rPr>
        <w:t xml:space="preserve"> about </w:t>
      </w:r>
      <w:r w:rsidR="00612BC8">
        <w:rPr>
          <w:lang w:eastAsia="en-AU" w:bidi="ar-SA"/>
        </w:rPr>
        <w:t>certain properties of food</w:t>
      </w:r>
      <w:r>
        <w:rPr>
          <w:lang w:eastAsia="en-AU" w:bidi="ar-SA"/>
        </w:rPr>
        <w:t>, may also be eligible to make one of the permitted general level health claims in section S4—5 of Schedule 4, subject to meeting other general level health claim requirements in Standard 1.2.7.</w:t>
      </w:r>
      <w:r w:rsidR="00522116" w:rsidRPr="00522116">
        <w:rPr>
          <w:rFonts w:cs="Arial"/>
        </w:rPr>
        <w:t xml:space="preserve"> </w:t>
      </w:r>
      <w:r w:rsidR="00522116">
        <w:rPr>
          <w:rFonts w:cs="Arial"/>
        </w:rPr>
        <w:t>The onus is on the supplier to determine whether their food product meets the conditions and requirements before making a nutrition content claim or a general level health claim.</w:t>
      </w:r>
    </w:p>
    <w:p w14:paraId="3DBCA8AE" w14:textId="274BB83C" w:rsidR="00515E8D" w:rsidRDefault="006716FD" w:rsidP="006716FD">
      <w:pPr>
        <w:pStyle w:val="Heading3"/>
      </w:pPr>
      <w:bookmarkStart w:id="69" w:name="_Toc26980506"/>
      <w:r>
        <w:t>3</w:t>
      </w:r>
      <w:r w:rsidR="00515E8D">
        <w:t>.</w:t>
      </w:r>
      <w:r w:rsidR="005E3E0E">
        <w:t>2</w:t>
      </w:r>
      <w:r w:rsidR="00515E8D">
        <w:t>.4</w:t>
      </w:r>
      <w:r w:rsidR="00515E8D">
        <w:tab/>
        <w:t>Declaration of certain substances</w:t>
      </w:r>
      <w:bookmarkEnd w:id="69"/>
    </w:p>
    <w:p w14:paraId="099FFE6B" w14:textId="21C2BA77" w:rsidR="00515E8D" w:rsidRDefault="00515E8D" w:rsidP="004C01F6">
      <w:pPr>
        <w:widowControl/>
        <w:rPr>
          <w:lang w:bidi="ar-SA"/>
        </w:rPr>
      </w:pPr>
      <w:r>
        <w:rPr>
          <w:lang w:bidi="ar-SA"/>
        </w:rPr>
        <w:t xml:space="preserve">In accordance with section 1.2.3—4 of Standard 1.2.3 </w:t>
      </w:r>
      <w:r w:rsidR="00083AB4">
        <w:rPr>
          <w:lang w:bidi="ar-SA"/>
        </w:rPr>
        <w:t>–</w:t>
      </w:r>
      <w:r w:rsidR="00FC4256">
        <w:rPr>
          <w:lang w:bidi="ar-SA"/>
        </w:rPr>
        <w:t xml:space="preserve"> </w:t>
      </w:r>
      <w:r w:rsidRPr="00C41BA7">
        <w:rPr>
          <w:i/>
          <w:lang w:bidi="ar-SA"/>
        </w:rPr>
        <w:t>Information requirements – warning statements, advisory statements and declarations</w:t>
      </w:r>
      <w:r>
        <w:rPr>
          <w:lang w:bidi="ar-SA"/>
        </w:rPr>
        <w:t>, if soy is present as an</w:t>
      </w:r>
      <w:r w:rsidR="00CF3A61">
        <w:rPr>
          <w:lang w:bidi="ar-SA"/>
        </w:rPr>
        <w:t xml:space="preserve"> ingredient or as an </w:t>
      </w:r>
      <w:r>
        <w:rPr>
          <w:lang w:bidi="ar-SA"/>
        </w:rPr>
        <w:t xml:space="preserve"> ingredient of a compound ingredient it must be declared on the label</w:t>
      </w:r>
      <w:r w:rsidR="00893859">
        <w:rPr>
          <w:lang w:bidi="ar-SA"/>
        </w:rPr>
        <w:t xml:space="preserve">. </w:t>
      </w:r>
      <w:r>
        <w:rPr>
          <w:lang w:bidi="ar-SA"/>
        </w:rPr>
        <w:t>If the food is not required to bear a label, the allergen information must be displayed in connection with the display of the food or provided to the purchaser on request (section 1.2.1—9 of Standard 1.2.1</w:t>
      </w:r>
      <w:r w:rsidR="00F94FEA">
        <w:rPr>
          <w:lang w:bidi="ar-SA"/>
        </w:rPr>
        <w:t>)</w:t>
      </w:r>
      <w:r w:rsidR="00893859">
        <w:rPr>
          <w:lang w:bidi="ar-SA"/>
        </w:rPr>
        <w:t xml:space="preserve">. </w:t>
      </w:r>
    </w:p>
    <w:p w14:paraId="59F0153A" w14:textId="77777777" w:rsidR="00515E8D" w:rsidRDefault="00515E8D" w:rsidP="004C01F6">
      <w:pPr>
        <w:widowControl/>
        <w:rPr>
          <w:lang w:bidi="ar-SA"/>
        </w:rPr>
      </w:pPr>
    </w:p>
    <w:p w14:paraId="6A6B4169" w14:textId="4A849A7E" w:rsidR="00515E8D" w:rsidRPr="001C64BE" w:rsidRDefault="00515E8D" w:rsidP="004C01F6">
      <w:pPr>
        <w:widowControl/>
        <w:rPr>
          <w:lang w:bidi="ar-SA"/>
        </w:rPr>
      </w:pPr>
      <w:r>
        <w:rPr>
          <w:lang w:bidi="ar-SA"/>
        </w:rPr>
        <w:t>Food sold to a caterer in a package must include the soy declaration on the label, as required by sections 1.2.1—12 and 1.2.1—15 of Standard</w:t>
      </w:r>
      <w:r w:rsidR="00FC4256">
        <w:rPr>
          <w:lang w:bidi="ar-SA"/>
        </w:rPr>
        <w:t xml:space="preserve"> 1.2.1 </w:t>
      </w:r>
      <w:r w:rsidR="00083AB4">
        <w:rPr>
          <w:lang w:bidi="ar-SA"/>
        </w:rPr>
        <w:t>–</w:t>
      </w:r>
      <w:r w:rsidR="00FC4256">
        <w:rPr>
          <w:lang w:bidi="ar-SA"/>
        </w:rPr>
        <w:t xml:space="preserve"> </w:t>
      </w:r>
      <w:r w:rsidRPr="00FC4256">
        <w:rPr>
          <w:i/>
          <w:lang w:bidi="ar-SA"/>
        </w:rPr>
        <w:t>Requirements to have labels or otherwise provide information</w:t>
      </w:r>
      <w:r>
        <w:rPr>
          <w:lang w:bidi="ar-SA"/>
        </w:rPr>
        <w:t xml:space="preserve">. </w:t>
      </w:r>
    </w:p>
    <w:p w14:paraId="45EBEB99" w14:textId="47EE6F13" w:rsidR="000959B0" w:rsidRDefault="006716FD" w:rsidP="006716FD">
      <w:pPr>
        <w:pStyle w:val="Heading3"/>
      </w:pPr>
      <w:bookmarkStart w:id="70" w:name="_Toc26980507"/>
      <w:r>
        <w:t>3</w:t>
      </w:r>
      <w:r w:rsidR="000959B0">
        <w:t>.</w:t>
      </w:r>
      <w:r w:rsidR="005E3E0E">
        <w:t>2</w:t>
      </w:r>
      <w:r w:rsidR="000959B0">
        <w:t>.</w:t>
      </w:r>
      <w:r w:rsidR="00515E8D">
        <w:t>5</w:t>
      </w:r>
      <w:r w:rsidR="000959B0">
        <w:tab/>
        <w:t xml:space="preserve">Labelling </w:t>
      </w:r>
      <w:r w:rsidR="002F2749">
        <w:t>as ‘genetically modified’</w:t>
      </w:r>
      <w:bookmarkEnd w:id="70"/>
      <w:r w:rsidR="002F2749">
        <w:t xml:space="preserve"> </w:t>
      </w:r>
    </w:p>
    <w:p w14:paraId="6E702C5D" w14:textId="0983EB53" w:rsidR="00B66067" w:rsidRDefault="00FC00CE" w:rsidP="004C01F6">
      <w:pPr>
        <w:widowControl/>
        <w:rPr>
          <w:lang w:eastAsia="en-AU" w:bidi="ar-SA"/>
        </w:rPr>
      </w:pPr>
      <w:r>
        <w:rPr>
          <w:lang w:eastAsia="en-AU" w:bidi="ar-SA"/>
        </w:rPr>
        <w:t xml:space="preserve">As discussed in the </w:t>
      </w:r>
      <w:r w:rsidRPr="00446855">
        <w:rPr>
          <w:lang w:eastAsia="en-AU" w:bidi="ar-SA"/>
        </w:rPr>
        <w:t xml:space="preserve">risk </w:t>
      </w:r>
      <w:r w:rsidR="006048D4">
        <w:rPr>
          <w:lang w:eastAsia="en-AU" w:bidi="ar-SA"/>
        </w:rPr>
        <w:t xml:space="preserve">and technical </w:t>
      </w:r>
      <w:r w:rsidRPr="00446855">
        <w:rPr>
          <w:lang w:eastAsia="en-AU" w:bidi="ar-SA"/>
        </w:rPr>
        <w:t>assessment (SD1</w:t>
      </w:r>
      <w:r>
        <w:rPr>
          <w:lang w:eastAsia="en-AU" w:bidi="ar-SA"/>
        </w:rPr>
        <w:t xml:space="preserve">), novel DNA </w:t>
      </w:r>
      <w:r w:rsidR="00AD55C4">
        <w:rPr>
          <w:lang w:eastAsia="en-AU" w:bidi="ar-SA"/>
        </w:rPr>
        <w:t xml:space="preserve">and </w:t>
      </w:r>
      <w:r>
        <w:rPr>
          <w:lang w:eastAsia="en-AU" w:bidi="ar-SA"/>
        </w:rPr>
        <w:t xml:space="preserve">novel protein from </w:t>
      </w:r>
      <w:r w:rsidR="00B66067">
        <w:rPr>
          <w:lang w:eastAsia="en-AU" w:bidi="ar-SA"/>
        </w:rPr>
        <w:t xml:space="preserve">genetically modified </w:t>
      </w:r>
      <w:r w:rsidR="00B66067" w:rsidRPr="00B66067">
        <w:rPr>
          <w:i/>
          <w:lang w:eastAsia="en-AU" w:bidi="ar-SA"/>
        </w:rPr>
        <w:t>P. pastoris</w:t>
      </w:r>
      <w:r w:rsidR="00B66067">
        <w:rPr>
          <w:lang w:eastAsia="en-AU" w:bidi="ar-SA"/>
        </w:rPr>
        <w:t xml:space="preserve"> </w:t>
      </w:r>
      <w:r w:rsidR="00ED3A56">
        <w:rPr>
          <w:lang w:eastAsia="en-AU" w:bidi="ar-SA"/>
        </w:rPr>
        <w:t xml:space="preserve">strain will be present in </w:t>
      </w:r>
      <w:r w:rsidRPr="00C41BA7">
        <w:rPr>
          <w:lang w:eastAsia="en-AU" w:bidi="ar-SA"/>
        </w:rPr>
        <w:t>the</w:t>
      </w:r>
      <w:r w:rsidR="00732467">
        <w:rPr>
          <w:lang w:eastAsia="en-AU" w:bidi="ar-SA"/>
        </w:rPr>
        <w:t xml:space="preserve"> final meat analogue product from the</w:t>
      </w:r>
      <w:r w:rsidRPr="00C41BA7">
        <w:rPr>
          <w:lang w:eastAsia="en-AU" w:bidi="ar-SA"/>
        </w:rPr>
        <w:t xml:space="preserve"> </w:t>
      </w:r>
      <w:r w:rsidR="00ED3A56">
        <w:rPr>
          <w:lang w:eastAsia="en-AU" w:bidi="ar-SA"/>
        </w:rPr>
        <w:t>LegH prep ingredient</w:t>
      </w:r>
      <w:r>
        <w:rPr>
          <w:lang w:eastAsia="en-AU" w:bidi="ar-SA"/>
        </w:rPr>
        <w:t xml:space="preserve">. </w:t>
      </w:r>
    </w:p>
    <w:p w14:paraId="550333A1" w14:textId="77777777" w:rsidR="00B66067" w:rsidRDefault="00B66067" w:rsidP="004C01F6">
      <w:pPr>
        <w:widowControl/>
        <w:rPr>
          <w:lang w:eastAsia="en-AU" w:bidi="ar-SA"/>
        </w:rPr>
      </w:pPr>
    </w:p>
    <w:p w14:paraId="3C06C017" w14:textId="1A1B6568" w:rsidR="002F2749" w:rsidRPr="002F2749" w:rsidRDefault="00B66067" w:rsidP="004C01F6">
      <w:pPr>
        <w:widowControl/>
        <w:rPr>
          <w:lang w:eastAsia="en-AU" w:bidi="ar-SA"/>
        </w:rPr>
      </w:pPr>
      <w:r>
        <w:rPr>
          <w:lang w:eastAsia="en-AU" w:bidi="ar-SA"/>
        </w:rPr>
        <w:t>A food for</w:t>
      </w:r>
      <w:r w:rsidR="00371637">
        <w:rPr>
          <w:lang w:eastAsia="en-AU" w:bidi="ar-SA"/>
        </w:rPr>
        <w:t xml:space="preserve"> </w:t>
      </w:r>
      <w:r>
        <w:rPr>
          <w:lang w:eastAsia="en-AU" w:bidi="ar-SA"/>
        </w:rPr>
        <w:t>sale that</w:t>
      </w:r>
      <w:r w:rsidR="00371637">
        <w:rPr>
          <w:lang w:eastAsia="en-AU" w:bidi="ar-SA"/>
        </w:rPr>
        <w:t xml:space="preserve"> has a genetically modified food ingredient,</w:t>
      </w:r>
      <w:r>
        <w:rPr>
          <w:lang w:eastAsia="en-AU" w:bidi="ar-SA"/>
        </w:rPr>
        <w:t xml:space="preserve"> </w:t>
      </w:r>
      <w:r w:rsidR="00371637">
        <w:rPr>
          <w:lang w:eastAsia="en-AU" w:bidi="ar-SA"/>
        </w:rPr>
        <w:t xml:space="preserve">and </w:t>
      </w:r>
      <w:r>
        <w:rPr>
          <w:lang w:eastAsia="en-AU" w:bidi="ar-SA"/>
        </w:rPr>
        <w:t xml:space="preserve">is required to bear a label (for example, </w:t>
      </w:r>
      <w:r w:rsidR="00295385">
        <w:rPr>
          <w:lang w:eastAsia="en-AU" w:bidi="ar-SA"/>
        </w:rPr>
        <w:t xml:space="preserve">packaged </w:t>
      </w:r>
      <w:r>
        <w:rPr>
          <w:lang w:eastAsia="en-AU" w:bidi="ar-SA"/>
        </w:rPr>
        <w:t>frozen burger</w:t>
      </w:r>
      <w:r w:rsidR="00BB5A24">
        <w:rPr>
          <w:lang w:eastAsia="en-AU" w:bidi="ar-SA"/>
        </w:rPr>
        <w:t xml:space="preserve"> patties</w:t>
      </w:r>
      <w:r>
        <w:rPr>
          <w:lang w:eastAsia="en-AU" w:bidi="ar-SA"/>
        </w:rPr>
        <w:t>)</w:t>
      </w:r>
      <w:r w:rsidR="00371637">
        <w:rPr>
          <w:lang w:eastAsia="en-AU" w:bidi="ar-SA"/>
        </w:rPr>
        <w:t>,</w:t>
      </w:r>
      <w:r>
        <w:rPr>
          <w:lang w:eastAsia="en-AU" w:bidi="ar-SA"/>
        </w:rPr>
        <w:t xml:space="preserve"> would be required to be labelled ‘genetically modified’ in conjunction with the </w:t>
      </w:r>
      <w:r w:rsidR="00295385">
        <w:rPr>
          <w:lang w:eastAsia="en-AU" w:bidi="ar-SA"/>
        </w:rPr>
        <w:t xml:space="preserve">ingredient </w:t>
      </w:r>
      <w:r>
        <w:rPr>
          <w:lang w:eastAsia="en-AU" w:bidi="ar-SA"/>
        </w:rPr>
        <w:t xml:space="preserve">name. </w:t>
      </w:r>
      <w:r w:rsidR="00ED3A56" w:rsidDel="002722E0">
        <w:rPr>
          <w:lang w:eastAsia="en-AU" w:bidi="ar-SA"/>
        </w:rPr>
        <w:t xml:space="preserve">Similarly, </w:t>
      </w:r>
      <w:r w:rsidR="00295385" w:rsidDel="002722E0">
        <w:rPr>
          <w:lang w:eastAsia="en-AU" w:bidi="ar-SA"/>
        </w:rPr>
        <w:t xml:space="preserve">information relating to foods produced using gene technology is required on labelling for food sold to a caterer. </w:t>
      </w:r>
      <w:r w:rsidR="001374E7" w:rsidDel="002722E0">
        <w:rPr>
          <w:lang w:eastAsia="en-AU" w:bidi="ar-SA"/>
        </w:rPr>
        <w:t xml:space="preserve"> </w:t>
      </w:r>
    </w:p>
    <w:p w14:paraId="7987EE77" w14:textId="7976B2B3" w:rsidR="000959B0" w:rsidRDefault="000959B0" w:rsidP="004C01F6">
      <w:pPr>
        <w:widowControl/>
        <w:rPr>
          <w:lang w:eastAsia="en-AU" w:bidi="ar-SA"/>
        </w:rPr>
      </w:pPr>
    </w:p>
    <w:p w14:paraId="04DAA8D6" w14:textId="15B9DAD9" w:rsidR="00BF77AA" w:rsidDel="00732467" w:rsidRDefault="00BF77AA" w:rsidP="004C01F6">
      <w:pPr>
        <w:widowControl/>
      </w:pPr>
      <w:r w:rsidDel="00732467">
        <w:t xml:space="preserve">Existing labelling provisions specify that food intended for immediate consumption that is prepared and sold from food premises and vending vehicles is exempt from GM food labelling requirements (see </w:t>
      </w:r>
      <w:r w:rsidRPr="002000A3" w:rsidDel="00732467">
        <w:t>section 1.3</w:t>
      </w:r>
      <w:r w:rsidR="002000A3">
        <w:t>.1</w:t>
      </w:r>
      <w:r w:rsidR="00703045">
        <w:t xml:space="preserve"> above</w:t>
      </w:r>
      <w:r w:rsidDel="00732467">
        <w:t>).</w:t>
      </w:r>
    </w:p>
    <w:p w14:paraId="538BD370" w14:textId="77777777" w:rsidR="00BF77AA" w:rsidRDefault="00BF77AA" w:rsidP="004C01F6">
      <w:pPr>
        <w:widowControl/>
      </w:pPr>
    </w:p>
    <w:p w14:paraId="153C9EFD" w14:textId="2BA7BD68" w:rsidR="00674056" w:rsidRDefault="00BF77AA" w:rsidP="004C01F6">
      <w:pPr>
        <w:widowControl/>
      </w:pPr>
      <w:r>
        <w:t>However</w:t>
      </w:r>
      <w:r w:rsidR="00732467">
        <w:t>,</w:t>
      </w:r>
      <w:r>
        <w:t xml:space="preserve"> paragraph 1.2.1—15(f) of Standard 1.2.1 requires information relating to foods produced using gene technology to be on labelling for food sold to a caterer. Subsection 1.1.2—2(3) of Standard 1.1.2 </w:t>
      </w:r>
      <w:r w:rsidR="00E073E5">
        <w:t xml:space="preserve">(Definitions used throughout the Code) </w:t>
      </w:r>
      <w:r>
        <w:t>defines ‘caterer’ to mean a person, establishment or institution (for example, a catering establishment, a restaurant, a canteen, a school, or a hospital) which handles or offers food for immediate consumption. Consequently, in relation to such food, a consumer may seek information about the food from the food business</w:t>
      </w:r>
      <w:r w:rsidR="00C41BA7">
        <w:t>.</w:t>
      </w:r>
    </w:p>
    <w:p w14:paraId="08753ECF" w14:textId="7754565D" w:rsidR="00C02507" w:rsidRPr="00E439E4" w:rsidRDefault="006716FD" w:rsidP="006716FD">
      <w:pPr>
        <w:pStyle w:val="Heading2"/>
      </w:pPr>
      <w:bookmarkStart w:id="71" w:name="_Toc26980508"/>
      <w:r>
        <w:rPr>
          <w:rFonts w:eastAsia="Calibri"/>
        </w:rPr>
        <w:t>3</w:t>
      </w:r>
      <w:r w:rsidR="00C02507">
        <w:rPr>
          <w:rFonts w:eastAsia="Calibri"/>
        </w:rPr>
        <w:t>.</w:t>
      </w:r>
      <w:r w:rsidR="006E56C1">
        <w:rPr>
          <w:rFonts w:eastAsia="Calibri"/>
        </w:rPr>
        <w:t>3</w:t>
      </w:r>
      <w:r w:rsidR="00C02507">
        <w:rPr>
          <w:rFonts w:eastAsia="Calibri"/>
        </w:rPr>
        <w:tab/>
      </w:r>
      <w:r w:rsidR="00C02507">
        <w:t>Ministerial Policy Guidelines</w:t>
      </w:r>
      <w:bookmarkEnd w:id="71"/>
    </w:p>
    <w:p w14:paraId="14F73084" w14:textId="6763F625" w:rsidR="00C02507" w:rsidRPr="00F55726" w:rsidRDefault="00C02507" w:rsidP="00C02507">
      <w:pPr>
        <w:widowControl/>
        <w:rPr>
          <w:lang w:val="en-AU"/>
        </w:rPr>
      </w:pPr>
      <w:r>
        <w:rPr>
          <w:rFonts w:eastAsia="Calibri"/>
          <w:szCs w:val="22"/>
          <w:lang w:val="en-AU" w:bidi="ar-SA"/>
        </w:rPr>
        <w:t xml:space="preserve">FSANZ had regard to the </w:t>
      </w:r>
      <w:r w:rsidRPr="00415D53">
        <w:rPr>
          <w:rFonts w:eastAsia="Calibri"/>
          <w:i/>
          <w:szCs w:val="22"/>
          <w:lang w:val="en-AU" w:bidi="ar-SA"/>
        </w:rPr>
        <w:t>Ministerial Policy Guideline for the fortification of foods with vitamins and minerals</w:t>
      </w:r>
      <w:r>
        <w:rPr>
          <w:rStyle w:val="FootnoteReference"/>
          <w:rFonts w:eastAsia="Calibri"/>
          <w:i/>
          <w:szCs w:val="22"/>
          <w:lang w:val="en-AU" w:bidi="ar-SA"/>
        </w:rPr>
        <w:footnoteReference w:id="7"/>
      </w:r>
      <w:r>
        <w:rPr>
          <w:rFonts w:eastAsia="Calibri"/>
          <w:szCs w:val="22"/>
          <w:lang w:val="en-AU" w:bidi="ar-SA"/>
        </w:rPr>
        <w:t xml:space="preserve"> in relation to soy leghemoglobin as a form of iron</w:t>
      </w:r>
      <w:r w:rsidR="00D45057">
        <w:rPr>
          <w:rFonts w:eastAsia="Calibri"/>
          <w:szCs w:val="22"/>
          <w:lang w:val="en-AU" w:bidi="ar-SA"/>
        </w:rPr>
        <w:t>,</w:t>
      </w:r>
      <w:r>
        <w:rPr>
          <w:rFonts w:eastAsia="Calibri"/>
          <w:szCs w:val="22"/>
          <w:lang w:val="en-AU" w:bidi="ar-SA"/>
        </w:rPr>
        <w:t xml:space="preserve"> in particular the potential for </w:t>
      </w:r>
      <w:r w:rsidR="00D45057">
        <w:rPr>
          <w:rFonts w:eastAsia="Calibri"/>
          <w:szCs w:val="22"/>
          <w:lang w:val="en-AU" w:bidi="ar-SA"/>
        </w:rPr>
        <w:t xml:space="preserve">use of soy haemoglobin to contribute to </w:t>
      </w:r>
      <w:r>
        <w:rPr>
          <w:rFonts w:eastAsia="Calibri"/>
          <w:szCs w:val="22"/>
          <w:lang w:val="en-AU" w:bidi="ar-SA"/>
        </w:rPr>
        <w:t xml:space="preserve">nutritional equivalence of a substitute food, in this case, meat analogue for meat. </w:t>
      </w:r>
      <w:r>
        <w:rPr>
          <w:lang w:val="en-AU"/>
        </w:rPr>
        <w:t>FSANZ</w:t>
      </w:r>
      <w:r w:rsidR="00136850">
        <w:rPr>
          <w:lang w:val="en-AU"/>
        </w:rPr>
        <w:t>’s assessment is</w:t>
      </w:r>
      <w:r>
        <w:rPr>
          <w:lang w:val="en-AU"/>
        </w:rPr>
        <w:t xml:space="preserve"> that permitting soy leghemoglobin for use as a source of iron </w:t>
      </w:r>
      <w:r w:rsidR="00D45057">
        <w:rPr>
          <w:lang w:val="en-AU"/>
        </w:rPr>
        <w:t>brings</w:t>
      </w:r>
      <w:r>
        <w:rPr>
          <w:lang w:val="en-AU"/>
        </w:rPr>
        <w:t xml:space="preserve"> the final meat analogue product closer to the primary </w:t>
      </w:r>
      <w:r w:rsidR="00D45057">
        <w:rPr>
          <w:lang w:val="en-AU"/>
        </w:rPr>
        <w:t xml:space="preserve">counterpart </w:t>
      </w:r>
      <w:r>
        <w:rPr>
          <w:lang w:val="en-AU"/>
        </w:rPr>
        <w:t>meat by providing greater nutritional equivalence through the provision of both haem and non-haem iron.</w:t>
      </w:r>
    </w:p>
    <w:p w14:paraId="2CA9E248" w14:textId="33716173" w:rsidR="00B706A5" w:rsidRDefault="006716FD" w:rsidP="006716FD">
      <w:pPr>
        <w:pStyle w:val="Heading2"/>
      </w:pPr>
      <w:bookmarkStart w:id="72" w:name="_Toc26284650"/>
      <w:bookmarkStart w:id="73" w:name="_Toc26980509"/>
      <w:r>
        <w:t>3</w:t>
      </w:r>
      <w:r w:rsidR="00F55726">
        <w:t>.</w:t>
      </w:r>
      <w:r w:rsidR="006E56C1">
        <w:t>4</w:t>
      </w:r>
      <w:r w:rsidR="00B706A5">
        <w:tab/>
        <w:t>Conclusion</w:t>
      </w:r>
      <w:bookmarkEnd w:id="72"/>
      <w:bookmarkEnd w:id="73"/>
    </w:p>
    <w:p w14:paraId="7EBE5229" w14:textId="04E8ABA7" w:rsidR="00F55726" w:rsidRDefault="007B7AE3" w:rsidP="004C01F6">
      <w:pPr>
        <w:widowControl/>
        <w:rPr>
          <w:rFonts w:cs="Arial"/>
          <w:szCs w:val="22"/>
          <w:lang w:val="en-AU" w:eastAsia="en-GB" w:bidi="ar-SA"/>
        </w:rPr>
      </w:pPr>
      <w:r>
        <w:rPr>
          <w:rFonts w:cs="Arial"/>
          <w:szCs w:val="22"/>
          <w:lang w:val="en-AU" w:eastAsia="en-GB" w:bidi="ar-SA"/>
        </w:rPr>
        <w:t>FSANZ</w:t>
      </w:r>
      <w:r w:rsidR="00B30C9A">
        <w:rPr>
          <w:rFonts w:cs="Arial"/>
          <w:szCs w:val="22"/>
          <w:lang w:val="en-AU" w:eastAsia="en-GB" w:bidi="ar-SA"/>
        </w:rPr>
        <w:t>’s assessment is</w:t>
      </w:r>
      <w:r w:rsidR="005504BC" w:rsidRPr="005504BC">
        <w:rPr>
          <w:rFonts w:cs="Arial"/>
          <w:szCs w:val="22"/>
          <w:lang w:val="en-AU" w:eastAsia="en-GB" w:bidi="ar-SA"/>
        </w:rPr>
        <w:t xml:space="preserve"> that consuming meat analogue products containing soy leghemoglobin </w:t>
      </w:r>
      <w:r w:rsidR="00A75F3A">
        <w:rPr>
          <w:rFonts w:cs="Arial"/>
          <w:szCs w:val="22"/>
          <w:lang w:val="en-AU" w:eastAsia="en-GB" w:bidi="ar-SA"/>
        </w:rPr>
        <w:t>at levels up to 0.8</w:t>
      </w:r>
      <w:r w:rsidR="00083AB4">
        <w:rPr>
          <w:rFonts w:cs="Arial"/>
          <w:szCs w:val="22"/>
          <w:lang w:val="en-AU" w:eastAsia="en-GB" w:bidi="ar-SA"/>
        </w:rPr>
        <w:t xml:space="preserve">% poses </w:t>
      </w:r>
      <w:r>
        <w:rPr>
          <w:rFonts w:cs="Arial"/>
          <w:szCs w:val="22"/>
          <w:lang w:val="en-AU" w:eastAsia="en-GB" w:bidi="ar-SA"/>
        </w:rPr>
        <w:t xml:space="preserve">no health or safety </w:t>
      </w:r>
      <w:r w:rsidR="00C341C2">
        <w:rPr>
          <w:rFonts w:cs="Arial"/>
          <w:szCs w:val="22"/>
          <w:lang w:val="en-AU" w:eastAsia="en-GB" w:bidi="ar-SA"/>
        </w:rPr>
        <w:t>concerns</w:t>
      </w:r>
      <w:r>
        <w:rPr>
          <w:rFonts w:cs="Arial"/>
          <w:szCs w:val="22"/>
          <w:lang w:val="en-AU" w:eastAsia="en-GB" w:bidi="ar-SA"/>
        </w:rPr>
        <w:t xml:space="preserve"> to the Australian </w:t>
      </w:r>
      <w:r w:rsidR="00A75F3A">
        <w:rPr>
          <w:rFonts w:cs="Arial"/>
          <w:szCs w:val="22"/>
          <w:lang w:val="en-AU" w:eastAsia="en-GB" w:bidi="ar-SA"/>
        </w:rPr>
        <w:t>and New Zealand populations</w:t>
      </w:r>
      <w:r w:rsidR="009D2215">
        <w:rPr>
          <w:rFonts w:cs="Arial"/>
          <w:szCs w:val="22"/>
          <w:lang w:val="en-AU" w:eastAsia="en-GB" w:bidi="ar-SA"/>
        </w:rPr>
        <w:t>,</w:t>
      </w:r>
      <w:r w:rsidR="005504BC" w:rsidRPr="005504BC">
        <w:rPr>
          <w:rFonts w:cs="Arial"/>
          <w:szCs w:val="22"/>
          <w:lang w:val="en-AU" w:eastAsia="en-GB" w:bidi="ar-SA"/>
        </w:rPr>
        <w:t xml:space="preserve"> and </w:t>
      </w:r>
      <w:r w:rsidR="009D2215">
        <w:rPr>
          <w:rFonts w:cs="Arial"/>
          <w:szCs w:val="22"/>
          <w:lang w:val="en-AU" w:eastAsia="en-GB" w:bidi="ar-SA"/>
        </w:rPr>
        <w:t>can</w:t>
      </w:r>
      <w:r w:rsidR="00F55726">
        <w:rPr>
          <w:rFonts w:cs="Arial"/>
          <w:szCs w:val="22"/>
          <w:lang w:val="en-AU" w:eastAsia="en-GB" w:bidi="ar-SA"/>
        </w:rPr>
        <w:t xml:space="preserve"> provide </w:t>
      </w:r>
      <w:r w:rsidR="009D2215">
        <w:rPr>
          <w:rFonts w:cs="Arial"/>
          <w:szCs w:val="22"/>
          <w:lang w:val="en-AU" w:eastAsia="en-GB" w:bidi="ar-SA"/>
        </w:rPr>
        <w:t xml:space="preserve">an alternative </w:t>
      </w:r>
      <w:r w:rsidR="006048D4">
        <w:rPr>
          <w:rFonts w:cs="Arial"/>
          <w:szCs w:val="22"/>
          <w:lang w:val="en-AU" w:eastAsia="en-GB" w:bidi="ar-SA"/>
        </w:rPr>
        <w:t xml:space="preserve">dietary </w:t>
      </w:r>
      <w:r w:rsidR="009D2215">
        <w:rPr>
          <w:rFonts w:cs="Arial"/>
          <w:szCs w:val="22"/>
          <w:lang w:val="en-AU" w:eastAsia="en-GB" w:bidi="ar-SA"/>
        </w:rPr>
        <w:t xml:space="preserve">source of haem iron </w:t>
      </w:r>
    </w:p>
    <w:p w14:paraId="54899D2A" w14:textId="77777777" w:rsidR="00F55726" w:rsidRDefault="00F55726" w:rsidP="004C01F6">
      <w:pPr>
        <w:widowControl/>
        <w:rPr>
          <w:rFonts w:cs="Arial"/>
          <w:szCs w:val="22"/>
          <w:lang w:val="en-AU" w:eastAsia="en-GB" w:bidi="ar-SA"/>
        </w:rPr>
      </w:pPr>
    </w:p>
    <w:p w14:paraId="356A0A32" w14:textId="5D1EBF2B" w:rsidR="00B30C9A" w:rsidRPr="00D7287F" w:rsidRDefault="00B30C9A" w:rsidP="00B30C9A">
      <w:pPr>
        <w:widowControl/>
        <w:rPr>
          <w:rFonts w:cs="Arial"/>
          <w:szCs w:val="22"/>
          <w:lang w:eastAsia="en-GB" w:bidi="ar-SA"/>
        </w:rPr>
      </w:pPr>
      <w:r>
        <w:t xml:space="preserve">Based on its assessment, and the considerations summarised above, FSANZ’s preliminary position is that preparation of a draft variation would appear warranted. </w:t>
      </w:r>
      <w:r>
        <w:rPr>
          <w:rFonts w:eastAsia="Calibri"/>
          <w:lang w:eastAsia="en-AU" w:bidi="ar-SA"/>
        </w:rPr>
        <w:t xml:space="preserve">The assessment </w:t>
      </w:r>
      <w:r w:rsidR="000334F5">
        <w:rPr>
          <w:rFonts w:eastAsia="Calibri"/>
          <w:lang w:eastAsia="en-AU" w:bidi="ar-SA"/>
        </w:rPr>
        <w:t xml:space="preserve">also </w:t>
      </w:r>
      <w:r>
        <w:rPr>
          <w:rFonts w:eastAsia="Calibri"/>
          <w:lang w:eastAsia="en-AU" w:bidi="ar-SA"/>
        </w:rPr>
        <w:t xml:space="preserve">suggests that, if the use of soy leghemoglobin </w:t>
      </w:r>
      <w:r>
        <w:rPr>
          <w:rFonts w:cs="Arial"/>
          <w:szCs w:val="22"/>
          <w:lang w:eastAsia="en-GB" w:bidi="ar-SA"/>
        </w:rPr>
        <w:t>in meat analogue products</w:t>
      </w:r>
      <w:r>
        <w:rPr>
          <w:rFonts w:eastAsia="Calibri"/>
          <w:lang w:eastAsia="en-AU" w:bidi="ar-SA"/>
        </w:rPr>
        <w:t xml:space="preserve"> is to be permitted, the most appropriate permission would be</w:t>
      </w:r>
      <w:r>
        <w:t>:</w:t>
      </w:r>
    </w:p>
    <w:p w14:paraId="4015FFB3" w14:textId="77777777" w:rsidR="00B30C9A" w:rsidRPr="006E56C1" w:rsidRDefault="00B30C9A" w:rsidP="00B30C9A">
      <w:pPr>
        <w:pStyle w:val="FSBullet1"/>
        <w:numPr>
          <w:ilvl w:val="0"/>
          <w:numId w:val="24"/>
        </w:numPr>
        <w:rPr>
          <w:rFonts w:ascii="Calibri" w:hAnsi="Calibri" w:cs="Calibri"/>
          <w:lang w:eastAsia="en-GB"/>
        </w:rPr>
      </w:pPr>
      <w:r>
        <w:rPr>
          <w:lang w:eastAsia="en-GB"/>
        </w:rPr>
        <w:t>a</w:t>
      </w:r>
      <w:r w:rsidRPr="005504BC">
        <w:rPr>
          <w:lang w:eastAsia="en-GB"/>
        </w:rPr>
        <w:t xml:space="preserve">s a </w:t>
      </w:r>
      <w:r w:rsidRPr="005504BC">
        <w:rPr>
          <w:i/>
          <w:iCs/>
          <w:lang w:eastAsia="en-GB"/>
        </w:rPr>
        <w:t xml:space="preserve">food produced using gene technology </w:t>
      </w:r>
      <w:r w:rsidRPr="005504BC">
        <w:rPr>
          <w:lang w:eastAsia="en-GB"/>
        </w:rPr>
        <w:t xml:space="preserve">derived specifically from </w:t>
      </w:r>
      <w:r>
        <w:rPr>
          <w:lang w:eastAsia="en-GB"/>
        </w:rPr>
        <w:t>the GM production strain</w:t>
      </w:r>
      <w:r w:rsidRPr="005504BC">
        <w:rPr>
          <w:lang w:eastAsia="en-GB"/>
        </w:rPr>
        <w:t xml:space="preserve"> </w:t>
      </w:r>
      <w:r w:rsidRPr="005504BC">
        <w:rPr>
          <w:i/>
          <w:iCs/>
          <w:lang w:eastAsia="en-GB"/>
        </w:rPr>
        <w:t>Pichia pastoris</w:t>
      </w:r>
      <w:r w:rsidRPr="006E56C1">
        <w:rPr>
          <w:iCs/>
          <w:lang w:eastAsia="en-GB"/>
        </w:rPr>
        <w:t xml:space="preserve"> </w:t>
      </w:r>
    </w:p>
    <w:p w14:paraId="26FF4035" w14:textId="77777777" w:rsidR="00B30C9A" w:rsidRPr="006E56C1" w:rsidRDefault="00B30C9A" w:rsidP="00B30C9A">
      <w:pPr>
        <w:pStyle w:val="FSBullet1"/>
        <w:numPr>
          <w:ilvl w:val="0"/>
          <w:numId w:val="24"/>
        </w:numPr>
        <w:rPr>
          <w:rFonts w:ascii="Calibri" w:hAnsi="Calibri" w:cs="Calibri"/>
          <w:szCs w:val="22"/>
          <w:lang w:eastAsia="en-GB"/>
        </w:rPr>
      </w:pPr>
      <w:r>
        <w:rPr>
          <w:szCs w:val="22"/>
          <w:lang w:val="en-AU" w:eastAsia="en-GB"/>
        </w:rPr>
        <w:t xml:space="preserve">with </w:t>
      </w:r>
      <w:r w:rsidRPr="006E56C1">
        <w:rPr>
          <w:szCs w:val="22"/>
          <w:lang w:val="en-AU" w:eastAsia="en-GB"/>
        </w:rPr>
        <w:t xml:space="preserve">a maximum permitted use level </w:t>
      </w:r>
      <w:r>
        <w:rPr>
          <w:szCs w:val="22"/>
          <w:lang w:val="en-AU" w:eastAsia="en-GB"/>
        </w:rPr>
        <w:t>of</w:t>
      </w:r>
      <w:r w:rsidRPr="006E56C1">
        <w:rPr>
          <w:szCs w:val="22"/>
          <w:lang w:val="en-AU" w:eastAsia="en-GB"/>
        </w:rPr>
        <w:t xml:space="preserve"> 0.8% (w/w</w:t>
      </w:r>
      <w:r>
        <w:rPr>
          <w:szCs w:val="22"/>
          <w:lang w:val="en-AU" w:eastAsia="en-GB"/>
        </w:rPr>
        <w:t>) in raw product</w:t>
      </w:r>
      <w:r>
        <w:rPr>
          <w:iCs/>
          <w:szCs w:val="22"/>
          <w:lang w:eastAsia="en-GB"/>
        </w:rPr>
        <w:t xml:space="preserve"> </w:t>
      </w:r>
    </w:p>
    <w:p w14:paraId="294F045A" w14:textId="77777777" w:rsidR="00B30C9A" w:rsidRPr="006E56C1" w:rsidRDefault="00B30C9A" w:rsidP="00B30C9A">
      <w:pPr>
        <w:pStyle w:val="FSBullet1"/>
        <w:numPr>
          <w:ilvl w:val="0"/>
          <w:numId w:val="24"/>
        </w:numPr>
        <w:rPr>
          <w:rFonts w:ascii="Calibri" w:hAnsi="Calibri" w:cs="Calibri"/>
          <w:szCs w:val="22"/>
          <w:lang w:eastAsia="en-GB"/>
        </w:rPr>
      </w:pPr>
      <w:r>
        <w:rPr>
          <w:iCs/>
          <w:szCs w:val="22"/>
          <w:lang w:eastAsia="en-GB"/>
        </w:rPr>
        <w:t xml:space="preserve">as a permitted form of iron </w:t>
      </w:r>
    </w:p>
    <w:p w14:paraId="5766B507" w14:textId="77777777" w:rsidR="00B30C9A" w:rsidRPr="00EA1C18" w:rsidRDefault="00B30C9A" w:rsidP="00B30C9A">
      <w:pPr>
        <w:pStyle w:val="FSBullet1"/>
        <w:numPr>
          <w:ilvl w:val="0"/>
          <w:numId w:val="24"/>
        </w:numPr>
        <w:rPr>
          <w:szCs w:val="22"/>
          <w:lang w:eastAsia="en-GB"/>
        </w:rPr>
      </w:pPr>
      <w:r>
        <w:rPr>
          <w:szCs w:val="22"/>
          <w:lang w:eastAsia="en-GB"/>
        </w:rPr>
        <w:t>with</w:t>
      </w:r>
      <w:r w:rsidRPr="006E56C1">
        <w:rPr>
          <w:szCs w:val="22"/>
          <w:lang w:eastAsia="en-GB"/>
        </w:rPr>
        <w:t xml:space="preserve"> </w:t>
      </w:r>
      <w:r w:rsidRPr="006E56C1">
        <w:rPr>
          <w:i/>
          <w:szCs w:val="22"/>
          <w:lang w:eastAsia="en-GB"/>
        </w:rPr>
        <w:t xml:space="preserve">identity and purity </w:t>
      </w:r>
      <w:r w:rsidRPr="006E56C1">
        <w:rPr>
          <w:szCs w:val="22"/>
          <w:lang w:eastAsia="en-GB"/>
        </w:rPr>
        <w:t xml:space="preserve">specifications for LegH Prep. </w:t>
      </w:r>
    </w:p>
    <w:p w14:paraId="765A78B4" w14:textId="1262FE3D" w:rsidR="006716FD" w:rsidRPr="006716FD" w:rsidRDefault="006716FD" w:rsidP="006716FD">
      <w:pPr>
        <w:rPr>
          <w:lang w:eastAsia="en-GB" w:bidi="ar-SA"/>
        </w:rPr>
      </w:pPr>
    </w:p>
    <w:p w14:paraId="6217151A" w14:textId="59B91A2D" w:rsidR="00E520FE" w:rsidRPr="001F0342" w:rsidRDefault="006716FD" w:rsidP="006716FD">
      <w:pPr>
        <w:pStyle w:val="Heading1"/>
      </w:pPr>
      <w:bookmarkStart w:id="74" w:name="_Toc300933435"/>
      <w:bookmarkStart w:id="75" w:name="_Toc26284651"/>
      <w:bookmarkStart w:id="76" w:name="_Toc26980510"/>
      <w:r>
        <w:t>4</w:t>
      </w:r>
      <w:r w:rsidR="00E520FE" w:rsidRPr="001F0342">
        <w:tab/>
        <w:t>Risk communication</w:t>
      </w:r>
      <w:bookmarkEnd w:id="74"/>
      <w:bookmarkEnd w:id="75"/>
      <w:bookmarkEnd w:id="76"/>
      <w:r w:rsidR="00E520FE" w:rsidRPr="001F0342">
        <w:t xml:space="preserve"> </w:t>
      </w:r>
    </w:p>
    <w:p w14:paraId="2A916143" w14:textId="492A7249" w:rsidR="00E520FE" w:rsidRPr="001F0342" w:rsidRDefault="006716FD" w:rsidP="006716FD">
      <w:pPr>
        <w:pStyle w:val="Heading2"/>
      </w:pPr>
      <w:bookmarkStart w:id="77" w:name="_Toc300933437"/>
      <w:bookmarkStart w:id="78" w:name="_Toc26284652"/>
      <w:bookmarkStart w:id="79" w:name="_Toc26980511"/>
      <w:bookmarkStart w:id="80" w:name="_Toc286391012"/>
      <w:r>
        <w:t>4</w:t>
      </w:r>
      <w:r w:rsidR="00E520FE" w:rsidRPr="001F0342">
        <w:t>.1</w:t>
      </w:r>
      <w:r w:rsidR="00E520FE" w:rsidRPr="001F0342">
        <w:tab/>
        <w:t>Consultation</w:t>
      </w:r>
      <w:bookmarkEnd w:id="77"/>
      <w:bookmarkEnd w:id="78"/>
      <w:bookmarkEnd w:id="79"/>
    </w:p>
    <w:p w14:paraId="264D0083" w14:textId="77777777" w:rsidR="0027513D" w:rsidRPr="001F0342" w:rsidRDefault="0027513D" w:rsidP="004C01F6">
      <w:pPr>
        <w:widowControl/>
        <w:rPr>
          <w:szCs w:val="22"/>
        </w:rPr>
      </w:pPr>
      <w:r w:rsidRPr="001F0342">
        <w:rPr>
          <w:szCs w:val="22"/>
        </w:rPr>
        <w:t xml:space="preserve">Consultation is a key part of FSANZ’s standards development process. </w:t>
      </w:r>
    </w:p>
    <w:p w14:paraId="73196BC4" w14:textId="77777777" w:rsidR="0027513D" w:rsidRPr="001F0342" w:rsidRDefault="0027513D" w:rsidP="004C01F6">
      <w:pPr>
        <w:widowControl/>
      </w:pPr>
    </w:p>
    <w:p w14:paraId="365D90A0" w14:textId="77777777" w:rsidR="00464D1D" w:rsidRPr="002A7881" w:rsidRDefault="00464D1D" w:rsidP="004C01F6">
      <w:pPr>
        <w:widowControl/>
        <w:rPr>
          <w:rFonts w:cs="Arial"/>
          <w:color w:val="000000"/>
        </w:rPr>
      </w:pPr>
      <w:r w:rsidRPr="001F0342">
        <w:rPr>
          <w:rFonts w:cs="Arial"/>
        </w:rPr>
        <w:t xml:space="preserve">FSANZ has developed a communication strategy for this application. Subscribers and interested parties </w:t>
      </w:r>
      <w:r w:rsidRPr="002A7881">
        <w:rPr>
          <w:rFonts w:cs="Arial"/>
          <w:color w:val="000000"/>
        </w:rPr>
        <w:t>have been notified about this call for submissions via the FSANZ Notification Circular, media release and through FSANZ’s social media tools and Food Standards News.</w:t>
      </w:r>
    </w:p>
    <w:p w14:paraId="3E822011" w14:textId="77777777" w:rsidR="00464D1D" w:rsidRPr="00535F8F" w:rsidRDefault="00464D1D" w:rsidP="004C01F6">
      <w:pPr>
        <w:widowControl/>
      </w:pPr>
    </w:p>
    <w:p w14:paraId="21151321" w14:textId="77777777" w:rsidR="00464D1D" w:rsidRPr="002A7881" w:rsidRDefault="00464D1D" w:rsidP="004C01F6">
      <w:pPr>
        <w:widowControl/>
        <w:rPr>
          <w:rFonts w:cs="Arial"/>
          <w:szCs w:val="22"/>
        </w:rPr>
      </w:pPr>
      <w:r w:rsidRPr="002A7881">
        <w:rPr>
          <w:rFonts w:cs="Arial"/>
          <w:szCs w:val="22"/>
        </w:rPr>
        <w:t>FSANZ acknowledges the time taken by individuals and organisations to consider this application. All comments are valued and contribute to the rigour of our assessment.</w:t>
      </w:r>
    </w:p>
    <w:p w14:paraId="408BA27E" w14:textId="77777777" w:rsidR="00464D1D" w:rsidRDefault="00464D1D" w:rsidP="004C01F6">
      <w:pPr>
        <w:widowControl/>
        <w:autoSpaceDE w:val="0"/>
        <w:autoSpaceDN w:val="0"/>
        <w:adjustRightInd w:val="0"/>
      </w:pPr>
      <w:r w:rsidRPr="002A7881">
        <w:rPr>
          <w:rFonts w:cs="Arial"/>
          <w:color w:val="000000"/>
        </w:rPr>
        <w:t xml:space="preserve">Comments received will be taken into account when </w:t>
      </w:r>
      <w:r>
        <w:rPr>
          <w:rFonts w:cs="Arial"/>
          <w:color w:val="000000"/>
        </w:rPr>
        <w:t>deciding whether to develop draft variation(s) at the next stage of assessment.</w:t>
      </w:r>
    </w:p>
    <w:p w14:paraId="23B15904" w14:textId="55BF6A75" w:rsidR="00E520FE" w:rsidRPr="00022DBC" w:rsidRDefault="006716FD" w:rsidP="006716FD">
      <w:pPr>
        <w:pStyle w:val="Heading2"/>
      </w:pPr>
      <w:bookmarkStart w:id="81" w:name="_Toc300761912"/>
      <w:bookmarkStart w:id="82" w:name="_Toc300933439"/>
      <w:bookmarkStart w:id="83" w:name="_Toc26284653"/>
      <w:bookmarkStart w:id="84" w:name="_Toc26980512"/>
      <w:bookmarkEnd w:id="80"/>
      <w:r>
        <w:t>4</w:t>
      </w:r>
      <w:r w:rsidR="00022DBC" w:rsidRPr="00022DBC">
        <w:t>.2</w:t>
      </w:r>
      <w:r w:rsidR="00E520FE" w:rsidRPr="00022DBC">
        <w:tab/>
        <w:t>World Trade Organization (WTO)</w:t>
      </w:r>
      <w:bookmarkEnd w:id="81"/>
      <w:bookmarkEnd w:id="82"/>
      <w:bookmarkEnd w:id="83"/>
      <w:bookmarkEnd w:id="84"/>
    </w:p>
    <w:p w14:paraId="65B0A706" w14:textId="66A1AEA1" w:rsidR="00E520FE" w:rsidRPr="00DC6570" w:rsidRDefault="00E520FE" w:rsidP="004C01F6">
      <w:pPr>
        <w:widowControl/>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17BBE738" w14:textId="2AB9D941" w:rsidR="000C5BF8" w:rsidRDefault="000C5BF8" w:rsidP="004C01F6">
      <w:pPr>
        <w:widowControl/>
        <w:rPr>
          <w:rFonts w:cs="Arial"/>
          <w:color w:val="000000"/>
        </w:rPr>
      </w:pPr>
    </w:p>
    <w:p w14:paraId="17CD4325" w14:textId="12113BEA" w:rsidR="00E520FE" w:rsidRDefault="000C5BF8" w:rsidP="004C01F6">
      <w:pPr>
        <w:widowControl/>
        <w:tabs>
          <w:tab w:val="left" w:pos="1560"/>
        </w:tabs>
        <w:rPr>
          <w:rFonts w:cs="Arial"/>
        </w:rPr>
      </w:pPr>
      <w:r w:rsidRPr="009C1465">
        <w:rPr>
          <w:rFonts w:cs="Arial"/>
        </w:rPr>
        <w:t>This issue will be fully considered at t</w:t>
      </w:r>
      <w:r>
        <w:rPr>
          <w:rFonts w:cs="Arial"/>
        </w:rPr>
        <w:t xml:space="preserve">he next stage of the assessment. As explained above, FSANZ has yet to decide to prepare a </w:t>
      </w:r>
      <w:r w:rsidR="000334F5">
        <w:rPr>
          <w:rFonts w:cs="Arial"/>
        </w:rPr>
        <w:t>proposed measure</w:t>
      </w:r>
      <w:r>
        <w:rPr>
          <w:rFonts w:cs="Arial"/>
        </w:rPr>
        <w:t>. Submissions received in response to this Call for Submission</w:t>
      </w:r>
      <w:r w:rsidR="008B5D5D">
        <w:rPr>
          <w:rFonts w:cs="Arial"/>
        </w:rPr>
        <w:t>s</w:t>
      </w:r>
      <w:r>
        <w:rPr>
          <w:rFonts w:cs="Arial"/>
        </w:rPr>
        <w:t xml:space="preserve"> will inform that decision. If FSANZ decides to prepare a proposed measure, public consultation must occur in relation to that measure, once prepared. If </w:t>
      </w:r>
      <w:r w:rsidR="00E520FE" w:rsidRPr="009C1465">
        <w:rPr>
          <w:rFonts w:cs="Arial"/>
        </w:rPr>
        <w:t xml:space="preserve">necessary, notification will be made </w:t>
      </w:r>
      <w:r>
        <w:rPr>
          <w:rFonts w:cs="Arial"/>
        </w:rPr>
        <w:t xml:space="preserve">at that point </w:t>
      </w:r>
      <w:r w:rsidR="00E520FE" w:rsidRPr="009C1465">
        <w:rPr>
          <w:rFonts w:cs="Arial"/>
        </w:rPr>
        <w:t xml:space="preserve">in accordance with Australia’s and New Zealand’s obligations under either the WTO Technical Barriers to Trade (TBT) or </w:t>
      </w:r>
      <w:r w:rsidR="00D04529" w:rsidRPr="009C1465">
        <w:rPr>
          <w:rFonts w:cs="Arial"/>
        </w:rPr>
        <w:t xml:space="preserve">Application of </w:t>
      </w:r>
      <w:r w:rsidR="00E520FE" w:rsidRPr="009C1465">
        <w:rPr>
          <w:rFonts w:cs="Arial"/>
        </w:rPr>
        <w:t>Sanitary and Phytosanitary Measures (SPS) Agreements. This will enable other WTO members to comment on any proposed amendments</w:t>
      </w:r>
      <w:r>
        <w:rPr>
          <w:rFonts w:cs="Arial"/>
        </w:rPr>
        <w:t>.</w:t>
      </w:r>
    </w:p>
    <w:p w14:paraId="24152C55" w14:textId="77777777" w:rsidR="006716FD" w:rsidRPr="009C1465" w:rsidRDefault="006716FD" w:rsidP="004C01F6">
      <w:pPr>
        <w:widowControl/>
        <w:tabs>
          <w:tab w:val="left" w:pos="1560"/>
        </w:tabs>
        <w:rPr>
          <w:rFonts w:cs="Arial"/>
        </w:rPr>
      </w:pPr>
    </w:p>
    <w:p w14:paraId="38959684" w14:textId="06EB8DA4" w:rsidR="00E520FE" w:rsidRDefault="006716FD" w:rsidP="006716FD">
      <w:pPr>
        <w:pStyle w:val="Heading1"/>
      </w:pPr>
      <w:bookmarkStart w:id="85" w:name="_Toc26284654"/>
      <w:bookmarkStart w:id="86" w:name="_Toc26980513"/>
      <w:r>
        <w:t>5</w:t>
      </w:r>
      <w:r w:rsidR="00AA2155">
        <w:tab/>
      </w:r>
      <w:r w:rsidR="00022DBC">
        <w:t>FSANZ Act assessment requirements</w:t>
      </w:r>
      <w:bookmarkEnd w:id="85"/>
      <w:bookmarkEnd w:id="86"/>
    </w:p>
    <w:p w14:paraId="5782334B" w14:textId="77777777" w:rsidR="000179B9" w:rsidRPr="003E1B4C" w:rsidRDefault="000179B9" w:rsidP="004C01F6">
      <w:pPr>
        <w:widowControl/>
      </w:pPr>
      <w:r w:rsidRPr="003E1B4C">
        <w:t>When assessing this Application</w:t>
      </w:r>
      <w:r>
        <w:t>,</w:t>
      </w:r>
      <w:r w:rsidRPr="003E1B4C">
        <w:t xml:space="preserve"> and the subsequent development of a food regulatory measure, FSANZ has had regard to the </w:t>
      </w:r>
      <w:r w:rsidRPr="003E1B4C" w:rsidDel="00932F14">
        <w:t xml:space="preserve">following </w:t>
      </w:r>
      <w:r w:rsidRPr="003E1B4C">
        <w:t xml:space="preserve">matters in section </w:t>
      </w:r>
      <w:r>
        <w:t>29</w:t>
      </w:r>
      <w:r w:rsidRPr="003E1B4C">
        <w:t xml:space="preserve"> of the FSANZ Act:</w:t>
      </w:r>
    </w:p>
    <w:p w14:paraId="167E1084" w14:textId="73F09CFF" w:rsidR="00726C2F" w:rsidRPr="00914030" w:rsidRDefault="006716FD" w:rsidP="006716FD">
      <w:pPr>
        <w:pStyle w:val="Heading2"/>
      </w:pPr>
      <w:bookmarkStart w:id="87" w:name="_Toc26284655"/>
      <w:bookmarkStart w:id="88" w:name="_Toc26980514"/>
      <w:r>
        <w:t>5.1</w:t>
      </w:r>
      <w:r w:rsidR="00AA2155">
        <w:tab/>
      </w:r>
      <w:r w:rsidR="00726C2F">
        <w:t xml:space="preserve">Section </w:t>
      </w:r>
      <w:r w:rsidR="00726C2F" w:rsidRPr="000179B9">
        <w:t>29</w:t>
      </w:r>
      <w:bookmarkEnd w:id="87"/>
      <w:bookmarkEnd w:id="88"/>
    </w:p>
    <w:p w14:paraId="60E7B438" w14:textId="3C9A7E11" w:rsidR="000179B9" w:rsidRPr="000179B9" w:rsidRDefault="006716FD" w:rsidP="006716FD">
      <w:pPr>
        <w:pStyle w:val="Heading3"/>
      </w:pPr>
      <w:bookmarkStart w:id="89" w:name="_Toc26980515"/>
      <w:r>
        <w:t>5.1</w:t>
      </w:r>
      <w:r w:rsidR="00AA2155">
        <w:t>.1</w:t>
      </w:r>
      <w:r w:rsidR="00AA2155">
        <w:tab/>
      </w:r>
      <w:r w:rsidR="00195254">
        <w:t>Co</w:t>
      </w:r>
      <w:r w:rsidR="00195254">
        <w:rPr>
          <w:lang w:val="en-AU"/>
        </w:rPr>
        <w:t>nsideration of costs and benefits</w:t>
      </w:r>
      <w:bookmarkEnd w:id="89"/>
    </w:p>
    <w:p w14:paraId="3B1E3805" w14:textId="3ADCD9EC" w:rsidR="000179B9" w:rsidRPr="00540BAE" w:rsidRDefault="000179B9" w:rsidP="004C01F6">
      <w:pPr>
        <w:widowControl/>
        <w:rPr>
          <w:lang w:bidi="ar-SA"/>
        </w:rPr>
      </w:pPr>
      <w:r w:rsidRPr="00540BAE">
        <w:rPr>
          <w:lang w:bidi="ar-SA"/>
        </w:rPr>
        <w:t xml:space="preserve">The Office of Best Practice Regulation (OBPR) granted FSANZ a standing exemption from the requirement to develop a Regulatory Impact Statement for permitting </w:t>
      </w:r>
      <w:r>
        <w:rPr>
          <w:lang w:bidi="ar-SA"/>
        </w:rPr>
        <w:t>genetically modified food</w:t>
      </w:r>
      <w:r w:rsidRPr="00540BAE">
        <w:rPr>
          <w:lang w:bidi="ar-SA"/>
        </w:rPr>
        <w:t xml:space="preserve"> </w:t>
      </w:r>
      <w:r>
        <w:rPr>
          <w:lang w:bidi="ar-SA"/>
        </w:rPr>
        <w:t xml:space="preserve">that is voluntary </w:t>
      </w:r>
      <w:r w:rsidRPr="00540BAE">
        <w:rPr>
          <w:lang w:bidi="ar-SA"/>
        </w:rPr>
        <w:t>(OBPR correspondence dated 24 November 2010, reference</w:t>
      </w:r>
      <w:r w:rsidR="00E10CB2">
        <w:rPr>
          <w:lang w:bidi="ar-SA"/>
        </w:rPr>
        <w:t xml:space="preserve"> 12065)</w:t>
      </w:r>
      <w:r w:rsidRPr="00540BAE">
        <w:rPr>
          <w:lang w:bidi="ar-SA"/>
        </w:rPr>
        <w:t xml:space="preserve">. </w:t>
      </w:r>
    </w:p>
    <w:p w14:paraId="1157EC7D" w14:textId="77777777" w:rsidR="000179B9" w:rsidRPr="00540BAE" w:rsidRDefault="000179B9" w:rsidP="004C01F6">
      <w:pPr>
        <w:widowControl/>
        <w:rPr>
          <w:highlight w:val="yellow"/>
          <w:lang w:bidi="ar-SA"/>
        </w:rPr>
      </w:pPr>
    </w:p>
    <w:p w14:paraId="751834A0" w14:textId="5B0AABC7" w:rsidR="000179B9" w:rsidRPr="008C61A5" w:rsidRDefault="000C5BF8" w:rsidP="004C01F6">
      <w:pPr>
        <w:widowControl/>
        <w:rPr>
          <w:lang w:bidi="ar-SA"/>
        </w:rPr>
      </w:pPr>
      <w:r>
        <w:rPr>
          <w:lang w:bidi="ar-SA"/>
        </w:rPr>
        <w:t xml:space="preserve">However, </w:t>
      </w:r>
      <w:r w:rsidRPr="008C61A5">
        <w:rPr>
          <w:lang w:bidi="ar-SA"/>
        </w:rPr>
        <w:t>for the purposes of meeting FSANZ Act considerations</w:t>
      </w:r>
      <w:r>
        <w:rPr>
          <w:lang w:bidi="ar-SA"/>
        </w:rPr>
        <w:t xml:space="preserve">, </w:t>
      </w:r>
      <w:r w:rsidR="000179B9" w:rsidRPr="008C61A5">
        <w:rPr>
          <w:lang w:bidi="ar-SA"/>
        </w:rPr>
        <w:t>FSANZ</w:t>
      </w:r>
      <w:r>
        <w:rPr>
          <w:lang w:bidi="ar-SA"/>
        </w:rPr>
        <w:t xml:space="preserve"> </w:t>
      </w:r>
      <w:r w:rsidR="000179B9" w:rsidRPr="008C61A5">
        <w:rPr>
          <w:lang w:bidi="ar-SA"/>
        </w:rPr>
        <w:t xml:space="preserve">has given consideration to the costs and benefits that may arise from </w:t>
      </w:r>
      <w:r>
        <w:rPr>
          <w:lang w:bidi="ar-SA"/>
        </w:rPr>
        <w:t>the</w:t>
      </w:r>
      <w:r w:rsidR="000179B9" w:rsidRPr="008C61A5">
        <w:rPr>
          <w:lang w:bidi="ar-SA"/>
        </w:rPr>
        <w:t xml:space="preserve"> measure </w:t>
      </w:r>
      <w:r>
        <w:rPr>
          <w:lang w:bidi="ar-SA"/>
        </w:rPr>
        <w:t>sought by the application</w:t>
      </w:r>
      <w:r w:rsidR="000179B9" w:rsidRPr="008C61A5">
        <w:rPr>
          <w:lang w:bidi="ar-SA"/>
        </w:rPr>
        <w:t xml:space="preserve">. The FSANZ Act requires FSANZ to have regard to whether costs that would arise from </w:t>
      </w:r>
      <w:r>
        <w:rPr>
          <w:lang w:bidi="ar-SA"/>
        </w:rPr>
        <w:t>a</w:t>
      </w:r>
      <w:r w:rsidRPr="008C61A5">
        <w:rPr>
          <w:lang w:bidi="ar-SA"/>
        </w:rPr>
        <w:t xml:space="preserve"> </w:t>
      </w:r>
      <w:r w:rsidR="000179B9" w:rsidRPr="008C61A5">
        <w:rPr>
          <w:lang w:bidi="ar-SA"/>
        </w:rPr>
        <w:t xml:space="preserve">proposed measure outweigh the direct and indirect benefits to the community, government or industry that would arise from </w:t>
      </w:r>
      <w:r>
        <w:rPr>
          <w:lang w:bidi="ar-SA"/>
        </w:rPr>
        <w:t>that</w:t>
      </w:r>
      <w:r w:rsidRPr="008C61A5">
        <w:rPr>
          <w:lang w:bidi="ar-SA"/>
        </w:rPr>
        <w:t xml:space="preserve"> </w:t>
      </w:r>
      <w:r w:rsidR="000179B9" w:rsidRPr="008C61A5">
        <w:rPr>
          <w:lang w:bidi="ar-SA"/>
        </w:rPr>
        <w:t xml:space="preserve">proposed measure (paragraph 29 (2)(a)). </w:t>
      </w:r>
    </w:p>
    <w:p w14:paraId="27420685" w14:textId="31B96332" w:rsidR="000179B9" w:rsidRDefault="000179B9" w:rsidP="004C01F6">
      <w:pPr>
        <w:pStyle w:val="FSTitle"/>
        <w:widowControl/>
        <w:rPr>
          <w:rFonts w:cs="Times New Roman"/>
          <w:bCs w:val="0"/>
          <w:sz w:val="22"/>
          <w:lang w:bidi="ar-SA"/>
        </w:rPr>
      </w:pPr>
    </w:p>
    <w:p w14:paraId="105328C6" w14:textId="567EEC39" w:rsidR="000179B9" w:rsidRDefault="000179B9" w:rsidP="004C01F6">
      <w:pPr>
        <w:widowControl/>
        <w:rPr>
          <w:bCs/>
          <w:lang w:bidi="ar-SA"/>
        </w:rPr>
      </w:pPr>
      <w:r w:rsidRPr="008C61A5">
        <w:rPr>
          <w:lang w:bidi="ar-SA"/>
        </w:rPr>
        <w:t>The purpose of this consideration is to determine if the community, government and industry as a whole is likely to benefit, on balance, f</w:t>
      </w:r>
      <w:r>
        <w:rPr>
          <w:lang w:bidi="ar-SA"/>
        </w:rPr>
        <w:t>rom a move from the status quo, i.e. rejecting the application</w:t>
      </w:r>
      <w:r w:rsidRPr="008C61A5">
        <w:rPr>
          <w:lang w:bidi="ar-SA"/>
        </w:rPr>
        <w:t xml:space="preserve">. This analysis considers </w:t>
      </w:r>
      <w:r w:rsidRPr="00540BAE">
        <w:rPr>
          <w:bCs/>
          <w:lang w:bidi="ar-SA"/>
        </w:rPr>
        <w:t xml:space="preserve">permitting </w:t>
      </w:r>
      <w:r>
        <w:rPr>
          <w:bCs/>
          <w:lang w:bidi="ar-SA"/>
        </w:rPr>
        <w:t>the use of s</w:t>
      </w:r>
      <w:r w:rsidRPr="00540BAE">
        <w:rPr>
          <w:bCs/>
          <w:lang w:bidi="ar-SA"/>
        </w:rPr>
        <w:t xml:space="preserve">oy leghemoglobin </w:t>
      </w:r>
      <w:r w:rsidR="0079425E">
        <w:rPr>
          <w:bCs/>
          <w:lang w:bidi="ar-SA"/>
        </w:rPr>
        <w:t xml:space="preserve">(via LegH Prep) </w:t>
      </w:r>
      <w:r w:rsidRPr="00540BAE">
        <w:rPr>
          <w:bCs/>
          <w:lang w:bidi="ar-SA"/>
        </w:rPr>
        <w:t>in meat analogue products</w:t>
      </w:r>
      <w:r>
        <w:rPr>
          <w:bCs/>
          <w:lang w:bidi="ar-SA"/>
        </w:rPr>
        <w:t xml:space="preserve"> </w:t>
      </w:r>
      <w:r w:rsidR="009C101B" w:rsidRPr="0079425E">
        <w:rPr>
          <w:bCs/>
          <w:i/>
          <w:lang w:bidi="ar-SA"/>
        </w:rPr>
        <w:t xml:space="preserve">as a </w:t>
      </w:r>
      <w:r w:rsidR="00C341C2">
        <w:rPr>
          <w:bCs/>
          <w:i/>
          <w:lang w:bidi="ar-SA"/>
        </w:rPr>
        <w:t>permitted form</w:t>
      </w:r>
      <w:r w:rsidR="009C101B">
        <w:rPr>
          <w:bCs/>
          <w:lang w:bidi="ar-SA"/>
        </w:rPr>
        <w:t xml:space="preserve"> of </w:t>
      </w:r>
      <w:r w:rsidR="00C341C2">
        <w:rPr>
          <w:bCs/>
          <w:lang w:bidi="ar-SA"/>
        </w:rPr>
        <w:t>iron</w:t>
      </w:r>
      <w:r w:rsidR="009C101B">
        <w:rPr>
          <w:bCs/>
          <w:lang w:bidi="ar-SA"/>
        </w:rPr>
        <w:t xml:space="preserve"> and as a </w:t>
      </w:r>
      <w:r w:rsidR="009C101B" w:rsidRPr="0079425E">
        <w:rPr>
          <w:bCs/>
          <w:i/>
          <w:lang w:bidi="ar-SA"/>
        </w:rPr>
        <w:t xml:space="preserve">food produced </w:t>
      </w:r>
      <w:r w:rsidRPr="0079425E">
        <w:rPr>
          <w:bCs/>
          <w:i/>
          <w:lang w:bidi="ar-SA"/>
        </w:rPr>
        <w:t>using gene technology</w:t>
      </w:r>
      <w:r>
        <w:rPr>
          <w:bCs/>
          <w:lang w:bidi="ar-SA"/>
        </w:rPr>
        <w:t xml:space="preserve">. </w:t>
      </w:r>
    </w:p>
    <w:p w14:paraId="614FDBDD" w14:textId="77777777" w:rsidR="000179B9" w:rsidRDefault="000179B9" w:rsidP="004C01F6">
      <w:pPr>
        <w:widowControl/>
        <w:rPr>
          <w:lang w:bidi="ar-SA"/>
        </w:rPr>
      </w:pPr>
    </w:p>
    <w:p w14:paraId="4FB2A65E" w14:textId="798A86B4" w:rsidR="000179B9" w:rsidRDefault="000179B9" w:rsidP="004C01F6">
      <w:pPr>
        <w:widowControl/>
        <w:rPr>
          <w:lang w:bidi="ar-SA"/>
        </w:rPr>
      </w:pPr>
      <w:r w:rsidRPr="007F6B4A">
        <w:rPr>
          <w:lang w:bidi="ar-SA"/>
        </w:rPr>
        <w:t xml:space="preserve">FSANZ </w:t>
      </w:r>
      <w:r w:rsidR="00C341C2">
        <w:rPr>
          <w:lang w:bidi="ar-SA"/>
        </w:rPr>
        <w:t xml:space="preserve">considers </w:t>
      </w:r>
      <w:r w:rsidRPr="007F6B4A">
        <w:rPr>
          <w:lang w:bidi="ar-SA"/>
        </w:rPr>
        <w:t>that no other realistic food regulatory measures exist, however information received may result in FSANZ arriving at a different outcome.</w:t>
      </w:r>
    </w:p>
    <w:p w14:paraId="13A5525F" w14:textId="77777777" w:rsidR="000179B9" w:rsidRDefault="000179B9" w:rsidP="004C01F6">
      <w:pPr>
        <w:widowControl/>
        <w:rPr>
          <w:lang w:bidi="ar-SA"/>
        </w:rPr>
      </w:pPr>
    </w:p>
    <w:p w14:paraId="5E52347E" w14:textId="545CD317" w:rsidR="000820D6" w:rsidRDefault="000179B9" w:rsidP="00567151">
      <w:pPr>
        <w:widowControl/>
        <w:rPr>
          <w:rFonts w:eastAsia="Calibri"/>
          <w:lang w:eastAsia="en-AU"/>
        </w:rPr>
      </w:pPr>
      <w:r w:rsidRPr="007F6B4A">
        <w:rPr>
          <w:lang w:bidi="ar-SA"/>
        </w:rPr>
        <w:t>The consideration of the costs and benefits in this section is not intended to be an exhaustive, quantitative economic analysis of the proposed measures. In fact, most of the effects that were considered cannot easily be assigned a dollar value. Rather, the assessment seeks to highlight the likely positives and negatives of moving away from the status quo</w:t>
      </w:r>
      <w:r w:rsidR="0079425E">
        <w:rPr>
          <w:lang w:bidi="ar-SA"/>
        </w:rPr>
        <w:t xml:space="preserve"> by permitting voluntary addition of soy leghemoglobin (via LegH Prep) to meat analogue products</w:t>
      </w:r>
      <w:r w:rsidRPr="007F6B4A">
        <w:rPr>
          <w:lang w:bidi="ar-SA"/>
        </w:rPr>
        <w:t>.</w:t>
      </w:r>
    </w:p>
    <w:p w14:paraId="3A7639F7" w14:textId="69697F55" w:rsidR="0079425E" w:rsidRPr="0079425E" w:rsidRDefault="000179B9" w:rsidP="00567151">
      <w:pPr>
        <w:pStyle w:val="Heading4"/>
        <w:rPr>
          <w:rFonts w:eastAsia="Calibri"/>
          <w:lang w:eastAsia="en-AU"/>
        </w:rPr>
      </w:pPr>
      <w:r w:rsidRPr="0079425E">
        <w:rPr>
          <w:rFonts w:eastAsia="Calibri"/>
          <w:lang w:eastAsia="en-AU"/>
        </w:rPr>
        <w:t>Industry</w:t>
      </w:r>
    </w:p>
    <w:p w14:paraId="65161019" w14:textId="1B42DC88" w:rsidR="000179B9" w:rsidRPr="00540BAE" w:rsidRDefault="001A2BA8" w:rsidP="004C01F6">
      <w:pPr>
        <w:widowControl/>
        <w:rPr>
          <w:highlight w:val="yellow"/>
        </w:rPr>
      </w:pPr>
      <w:r>
        <w:rPr>
          <w:bCs/>
          <w:lang w:bidi="ar-SA"/>
        </w:rPr>
        <w:t>Approving this product will provide the applicant with the capacity to earn revenue from their innovation</w:t>
      </w:r>
      <w:r w:rsidR="00865E35">
        <w:rPr>
          <w:bCs/>
          <w:lang w:bidi="ar-SA"/>
        </w:rPr>
        <w:t>,</w:t>
      </w:r>
      <w:r w:rsidR="00D33761">
        <w:rPr>
          <w:bCs/>
          <w:lang w:bidi="ar-SA"/>
        </w:rPr>
        <w:t xml:space="preserve"> in Australia and New Zealand</w:t>
      </w:r>
      <w:r>
        <w:rPr>
          <w:bCs/>
          <w:lang w:bidi="ar-SA"/>
        </w:rPr>
        <w:t>. Australia</w:t>
      </w:r>
      <w:r w:rsidR="00DE13E9">
        <w:t xml:space="preserve"> and New Zealand</w:t>
      </w:r>
      <w:r w:rsidR="000179B9" w:rsidRPr="0047042E">
        <w:t xml:space="preserve"> </w:t>
      </w:r>
      <w:r>
        <w:t xml:space="preserve">businesses </w:t>
      </w:r>
      <w:r w:rsidR="000179B9" w:rsidRPr="0047042E">
        <w:t xml:space="preserve">will </w:t>
      </w:r>
      <w:r>
        <w:t xml:space="preserve">be able to </w:t>
      </w:r>
      <w:r w:rsidR="001F0342">
        <w:t>purchase and sell mea</w:t>
      </w:r>
      <w:r w:rsidR="006264EB">
        <w:t xml:space="preserve">t analogue products containing </w:t>
      </w:r>
      <w:r w:rsidR="000179B9" w:rsidRPr="0047042E">
        <w:rPr>
          <w:bCs/>
          <w:lang w:bidi="ar-SA"/>
        </w:rPr>
        <w:t>soy leghemoglobin</w:t>
      </w:r>
      <w:r w:rsidR="000179B9" w:rsidRPr="0047042E">
        <w:t xml:space="preserve"> </w:t>
      </w:r>
      <w:r w:rsidR="006264EB">
        <w:t>if</w:t>
      </w:r>
      <w:r w:rsidR="006264EB" w:rsidRPr="0047042E">
        <w:t xml:space="preserve"> </w:t>
      </w:r>
      <w:r w:rsidR="000179B9" w:rsidRPr="0047042E">
        <w:t xml:space="preserve">they believe </w:t>
      </w:r>
      <w:r>
        <w:t>they are likely to receive sufficient revenue in what is a potentially growing market sector</w:t>
      </w:r>
      <w:r w:rsidR="000179B9" w:rsidRPr="0047042E">
        <w:t xml:space="preserve">. </w:t>
      </w:r>
    </w:p>
    <w:p w14:paraId="0D22B3C0" w14:textId="3205C1FB" w:rsidR="0079425E" w:rsidRPr="004344D6" w:rsidRDefault="000179B9" w:rsidP="00A16D7F">
      <w:pPr>
        <w:pStyle w:val="Heading4"/>
      </w:pPr>
      <w:r w:rsidRPr="0079425E">
        <w:t>Consumers</w:t>
      </w:r>
    </w:p>
    <w:p w14:paraId="7A66BB98" w14:textId="772CAA44" w:rsidR="000179B9" w:rsidRDefault="000179B9" w:rsidP="004C01F6">
      <w:pPr>
        <w:widowControl/>
        <w:rPr>
          <w:lang w:bidi="ar-SA"/>
        </w:rPr>
      </w:pPr>
      <w:r w:rsidRPr="004344D6">
        <w:rPr>
          <w:lang w:bidi="ar-SA"/>
        </w:rPr>
        <w:t>Consumers may benefit from greater choice of foods, particularly greater choice of meat substitutes</w:t>
      </w:r>
      <w:r w:rsidR="00D33761">
        <w:rPr>
          <w:lang w:bidi="ar-SA"/>
        </w:rPr>
        <w:t xml:space="preserve"> with potentially superior attributes</w:t>
      </w:r>
      <w:r w:rsidR="001A2BA8">
        <w:rPr>
          <w:lang w:bidi="ar-SA"/>
        </w:rPr>
        <w:t xml:space="preserve"> if this product is approved</w:t>
      </w:r>
      <w:r w:rsidRPr="004344D6">
        <w:rPr>
          <w:lang w:bidi="ar-SA"/>
        </w:rPr>
        <w:t xml:space="preserve">. </w:t>
      </w:r>
      <w:r w:rsidR="009906D5">
        <w:rPr>
          <w:lang w:bidi="ar-SA"/>
        </w:rPr>
        <w:t>Soy leg</w:t>
      </w:r>
      <w:r w:rsidR="00DE13E9">
        <w:rPr>
          <w:lang w:bidi="ar-SA"/>
        </w:rPr>
        <w:t xml:space="preserve">hemoglobin will be sold in the </w:t>
      </w:r>
      <w:r w:rsidR="00692837">
        <w:rPr>
          <w:lang w:bidi="ar-SA"/>
        </w:rPr>
        <w:t>applicant</w:t>
      </w:r>
      <w:r w:rsidR="009D5C27">
        <w:rPr>
          <w:lang w:bidi="ar-SA"/>
        </w:rPr>
        <w:t xml:space="preserve">’s </w:t>
      </w:r>
      <w:r w:rsidR="009906D5">
        <w:rPr>
          <w:lang w:bidi="ar-SA"/>
        </w:rPr>
        <w:t xml:space="preserve">meat analogue products. </w:t>
      </w:r>
      <w:r w:rsidR="00842988">
        <w:rPr>
          <w:lang w:bidi="ar-SA"/>
        </w:rPr>
        <w:t xml:space="preserve">The </w:t>
      </w:r>
      <w:r w:rsidR="00D4510B">
        <w:rPr>
          <w:lang w:bidi="ar-SA"/>
        </w:rPr>
        <w:t>a</w:t>
      </w:r>
      <w:r w:rsidR="00692837">
        <w:rPr>
          <w:lang w:bidi="ar-SA"/>
        </w:rPr>
        <w:t>pplicant</w:t>
      </w:r>
      <w:r w:rsidR="00842988">
        <w:rPr>
          <w:lang w:bidi="ar-SA"/>
        </w:rPr>
        <w:t xml:space="preserve"> is targeting their products at ‘flexitarians’</w:t>
      </w:r>
      <w:r w:rsidR="005326E4">
        <w:rPr>
          <w:lang w:bidi="ar-SA"/>
        </w:rPr>
        <w:t xml:space="preserve">, who they claim </w:t>
      </w:r>
      <w:r w:rsidR="004A7167">
        <w:rPr>
          <w:lang w:bidi="ar-SA"/>
        </w:rPr>
        <w:t>(</w:t>
      </w:r>
      <w:r w:rsidR="005326E4">
        <w:rPr>
          <w:lang w:bidi="ar-SA"/>
        </w:rPr>
        <w:t>on page 62 of the application</w:t>
      </w:r>
      <w:r w:rsidR="004A7167">
        <w:rPr>
          <w:lang w:bidi="ar-SA"/>
        </w:rPr>
        <w:t>)</w:t>
      </w:r>
      <w:r w:rsidR="005326E4">
        <w:rPr>
          <w:lang w:bidi="ar-SA"/>
        </w:rPr>
        <w:t xml:space="preserve"> are looking for</w:t>
      </w:r>
      <w:r w:rsidR="004A7167">
        <w:rPr>
          <w:lang w:bidi="ar-SA"/>
        </w:rPr>
        <w:t xml:space="preserve"> a</w:t>
      </w:r>
      <w:r w:rsidR="005326E4">
        <w:rPr>
          <w:lang w:bidi="ar-SA"/>
        </w:rPr>
        <w:t xml:space="preserve"> “more ethical and environmentally friendly alternative meat products without compromising on attributes such as the taste and texture”</w:t>
      </w:r>
      <w:r w:rsidR="00ED3E16">
        <w:rPr>
          <w:lang w:bidi="ar-SA"/>
        </w:rPr>
        <w:t>.</w:t>
      </w:r>
      <w:r w:rsidR="005326E4">
        <w:rPr>
          <w:lang w:bidi="ar-SA"/>
        </w:rPr>
        <w:t xml:space="preserve"> </w:t>
      </w:r>
      <w:r w:rsidR="00D33761">
        <w:rPr>
          <w:lang w:bidi="ar-SA"/>
        </w:rPr>
        <w:t xml:space="preserve">This is likely to be a premium product so it is unlikely that it will become confused or substituted for meat in the short to medium term. </w:t>
      </w:r>
      <w:r w:rsidR="00D33761" w:rsidRPr="00F6352C">
        <w:rPr>
          <w:lang w:bidi="ar-SA"/>
        </w:rPr>
        <w:t xml:space="preserve">Labelling of </w:t>
      </w:r>
      <w:r w:rsidR="00D33761">
        <w:rPr>
          <w:lang w:bidi="ar-SA"/>
        </w:rPr>
        <w:t xml:space="preserve">meat analogue products containing soy leghemoglobin that is sold </w:t>
      </w:r>
      <w:r w:rsidR="00D33761" w:rsidRPr="00F6352C">
        <w:rPr>
          <w:lang w:bidi="ar-SA"/>
        </w:rPr>
        <w:t xml:space="preserve">packaged (e.g. </w:t>
      </w:r>
      <w:r w:rsidR="00D33761">
        <w:rPr>
          <w:lang w:bidi="ar-SA"/>
        </w:rPr>
        <w:t xml:space="preserve">frozen burger patties) </w:t>
      </w:r>
      <w:r w:rsidR="00D33761" w:rsidRPr="00F6352C">
        <w:rPr>
          <w:lang w:bidi="ar-SA"/>
        </w:rPr>
        <w:t xml:space="preserve">would allow consumers wishing to avoid these products to do so. </w:t>
      </w:r>
      <w:r w:rsidR="00D33761">
        <w:rPr>
          <w:lang w:bidi="ar-SA"/>
        </w:rPr>
        <w:t xml:space="preserve">  Existing consumer protections exist to protect consumers from it being substituted for meat and vice-versa.</w:t>
      </w:r>
    </w:p>
    <w:p w14:paraId="3A11819B" w14:textId="1151A492" w:rsidR="00DE13E9" w:rsidRPr="0079425E" w:rsidRDefault="000179B9" w:rsidP="00A16D7F">
      <w:pPr>
        <w:pStyle w:val="Heading4"/>
      </w:pPr>
      <w:r w:rsidRPr="0079425E">
        <w:t>Government</w:t>
      </w:r>
    </w:p>
    <w:p w14:paraId="377FE328" w14:textId="3B23A621" w:rsidR="00410D45" w:rsidRDefault="00A16D7F" w:rsidP="004C01F6">
      <w:pPr>
        <w:widowControl/>
        <w:rPr>
          <w:bCs/>
          <w:lang w:bidi="ar-SA"/>
        </w:rPr>
      </w:pPr>
      <w:r>
        <w:rPr>
          <w:bCs/>
          <w:lang w:bidi="ar-SA"/>
        </w:rPr>
        <w:t>T</w:t>
      </w:r>
      <w:r w:rsidR="00190920">
        <w:rPr>
          <w:bCs/>
          <w:lang w:bidi="ar-SA"/>
        </w:rPr>
        <w:t>here may be</w:t>
      </w:r>
      <w:r w:rsidR="000179B9" w:rsidRPr="004344D6">
        <w:rPr>
          <w:bCs/>
          <w:lang w:bidi="ar-SA"/>
        </w:rPr>
        <w:t xml:space="preserve"> a small cost to government in terms of </w:t>
      </w:r>
      <w:r w:rsidR="00410D45" w:rsidRPr="004344D6">
        <w:rPr>
          <w:bCs/>
          <w:lang w:bidi="ar-SA"/>
        </w:rPr>
        <w:t>monitor</w:t>
      </w:r>
      <w:r w:rsidR="00410D45">
        <w:rPr>
          <w:bCs/>
          <w:lang w:bidi="ar-SA"/>
        </w:rPr>
        <w:t xml:space="preserve">ing and compliance to ensure the final products </w:t>
      </w:r>
      <w:r w:rsidR="000334F5">
        <w:rPr>
          <w:bCs/>
          <w:lang w:bidi="ar-SA"/>
        </w:rPr>
        <w:t xml:space="preserve">comply with the Code and food laws set in Australia and New Zealand as well as laws preventing </w:t>
      </w:r>
      <w:r w:rsidR="00410D45">
        <w:rPr>
          <w:bCs/>
          <w:lang w:bidi="ar-SA"/>
        </w:rPr>
        <w:t xml:space="preserve">misleading or deceptive </w:t>
      </w:r>
      <w:r w:rsidR="000334F5">
        <w:rPr>
          <w:bCs/>
          <w:lang w:bidi="ar-SA"/>
        </w:rPr>
        <w:t>commercial conduct</w:t>
      </w:r>
      <w:r w:rsidR="007D004A">
        <w:rPr>
          <w:bCs/>
          <w:lang w:bidi="ar-SA"/>
        </w:rPr>
        <w:t>.</w:t>
      </w:r>
    </w:p>
    <w:p w14:paraId="6E06CC65" w14:textId="2673CEF1" w:rsidR="000179B9" w:rsidRPr="00CA5DE7" w:rsidRDefault="00A16D7F" w:rsidP="00BA391F">
      <w:pPr>
        <w:pStyle w:val="Heading4"/>
      </w:pPr>
      <w:r>
        <w:t xml:space="preserve">5.1.1.2 </w:t>
      </w:r>
      <w:r w:rsidR="00D336AA">
        <w:tab/>
      </w:r>
      <w:r w:rsidR="000179B9" w:rsidRPr="00CA5DE7">
        <w:t>Conclusions from cost benefit considerations</w:t>
      </w:r>
    </w:p>
    <w:p w14:paraId="15DC35D5" w14:textId="60A37FDA" w:rsidR="000179B9" w:rsidRPr="00F9067B" w:rsidRDefault="00991067" w:rsidP="004C01F6">
      <w:pPr>
        <w:widowControl/>
        <w:rPr>
          <w:lang w:bidi="ar-SA"/>
        </w:rPr>
      </w:pPr>
      <w:r>
        <w:rPr>
          <w:lang w:bidi="ar-SA"/>
        </w:rPr>
        <w:t>FSANZ</w:t>
      </w:r>
      <w:r w:rsidR="000179B9" w:rsidRPr="00CA5DE7">
        <w:rPr>
          <w:lang w:bidi="ar-SA"/>
        </w:rPr>
        <w:t xml:space="preserve"> </w:t>
      </w:r>
      <w:r w:rsidR="006861A6">
        <w:rPr>
          <w:lang w:bidi="ar-SA"/>
        </w:rPr>
        <w:t xml:space="preserve">considers </w:t>
      </w:r>
      <w:r w:rsidR="000179B9" w:rsidRPr="00CA5DE7">
        <w:rPr>
          <w:lang w:bidi="ar-SA"/>
        </w:rPr>
        <w:t xml:space="preserve">that the direct and indirect benefits that </w:t>
      </w:r>
      <w:r w:rsidR="006861A6">
        <w:rPr>
          <w:lang w:bidi="ar-SA"/>
        </w:rPr>
        <w:t>may</w:t>
      </w:r>
      <w:r w:rsidR="006861A6" w:rsidRPr="00CA5DE7">
        <w:rPr>
          <w:lang w:bidi="ar-SA"/>
        </w:rPr>
        <w:t xml:space="preserve"> </w:t>
      </w:r>
      <w:r w:rsidR="000179B9" w:rsidRPr="00CA5DE7">
        <w:rPr>
          <w:lang w:bidi="ar-SA"/>
        </w:rPr>
        <w:t xml:space="preserve">arise from permitting </w:t>
      </w:r>
      <w:r w:rsidR="000179B9" w:rsidRPr="00CA5DE7">
        <w:t xml:space="preserve">the </w:t>
      </w:r>
      <w:r w:rsidR="00692837">
        <w:t>Applicant</w:t>
      </w:r>
      <w:r w:rsidR="00834336">
        <w:rPr>
          <w:bCs/>
          <w:lang w:bidi="ar-SA"/>
        </w:rPr>
        <w:t>’</w:t>
      </w:r>
      <w:r w:rsidR="006861A6">
        <w:rPr>
          <w:bCs/>
          <w:lang w:bidi="ar-SA"/>
        </w:rPr>
        <w:t>s</w:t>
      </w:r>
      <w:r w:rsidR="00834336">
        <w:rPr>
          <w:bCs/>
          <w:lang w:bidi="ar-SA"/>
        </w:rPr>
        <w:t xml:space="preserve"> </w:t>
      </w:r>
      <w:r w:rsidR="000179B9" w:rsidRPr="00CA5DE7">
        <w:rPr>
          <w:bCs/>
          <w:lang w:bidi="ar-SA"/>
        </w:rPr>
        <w:t xml:space="preserve">soy leghemoglobin </w:t>
      </w:r>
      <w:r w:rsidR="006861A6">
        <w:rPr>
          <w:bCs/>
          <w:lang w:bidi="ar-SA"/>
        </w:rPr>
        <w:t xml:space="preserve">in meat analogue products </w:t>
      </w:r>
      <w:r w:rsidR="000179B9" w:rsidRPr="00CA5DE7">
        <w:rPr>
          <w:lang w:bidi="ar-SA"/>
        </w:rPr>
        <w:t>likely outweigh</w:t>
      </w:r>
      <w:r w:rsidR="00C532EB">
        <w:rPr>
          <w:lang w:bidi="ar-SA"/>
        </w:rPr>
        <w:t>s</w:t>
      </w:r>
      <w:r w:rsidR="000179B9" w:rsidRPr="00CA5DE7">
        <w:rPr>
          <w:lang w:bidi="ar-SA"/>
        </w:rPr>
        <w:t xml:space="preserve"> the associated costs.</w:t>
      </w:r>
    </w:p>
    <w:p w14:paraId="06D5A6F4" w14:textId="16EB0452" w:rsidR="000179B9" w:rsidRDefault="000179B9" w:rsidP="004C01F6">
      <w:pPr>
        <w:widowControl/>
      </w:pPr>
    </w:p>
    <w:p w14:paraId="6B9705AF" w14:textId="5B2F1B3C" w:rsidR="000877DD" w:rsidRPr="001F0342" w:rsidRDefault="000877DD" w:rsidP="004C01F6">
      <w:pPr>
        <w:widowControl/>
      </w:pPr>
      <w:r w:rsidRPr="00B706A5">
        <w:t xml:space="preserve">Additional information </w:t>
      </w:r>
      <w:r w:rsidR="00953051">
        <w:t xml:space="preserve">received </w:t>
      </w:r>
      <w:r w:rsidRPr="00B706A5">
        <w:t xml:space="preserve">from </w:t>
      </w:r>
      <w:r w:rsidR="00703045">
        <w:t xml:space="preserve">in response to this Call for Submissions, and any second Call for Submission on a draft variation, </w:t>
      </w:r>
      <w:r w:rsidRPr="00B706A5">
        <w:t xml:space="preserve">may enable FSANZ to undertake a more quantitative-based </w:t>
      </w:r>
      <w:r w:rsidR="002F7B92" w:rsidRPr="00B706A5">
        <w:t>assessment of the</w:t>
      </w:r>
      <w:r w:rsidR="000179B9">
        <w:t xml:space="preserve"> </w:t>
      </w:r>
      <w:r w:rsidR="004A7167">
        <w:t xml:space="preserve">associated </w:t>
      </w:r>
      <w:r w:rsidR="002140D3">
        <w:t xml:space="preserve">wider </w:t>
      </w:r>
      <w:r w:rsidR="000179B9">
        <w:t>costs and benefits</w:t>
      </w:r>
      <w:r w:rsidR="002F7B92" w:rsidRPr="00B706A5">
        <w:t xml:space="preserve"> </w:t>
      </w:r>
      <w:r w:rsidR="004A7167">
        <w:rPr>
          <w:lang w:bidi="ar-SA"/>
        </w:rPr>
        <w:t>in permitting soy leghemoglobin in meat analogue products</w:t>
      </w:r>
      <w:r w:rsidRPr="00B706A5">
        <w:t xml:space="preserve">. </w:t>
      </w:r>
      <w:r w:rsidR="00BE00CB">
        <w:t>This will</w:t>
      </w:r>
      <w:r w:rsidR="00BE00CB" w:rsidRPr="00B706A5">
        <w:t xml:space="preserve"> </w:t>
      </w:r>
      <w:r w:rsidRPr="00B706A5">
        <w:t>depend on the quality of data</w:t>
      </w:r>
      <w:r w:rsidR="002F7B92" w:rsidRPr="00B706A5">
        <w:t xml:space="preserve"> or </w:t>
      </w:r>
      <w:r w:rsidRPr="00B706A5">
        <w:t>information received</w:t>
      </w:r>
      <w:r w:rsidR="00BE00CB">
        <w:t xml:space="preserve"> in submissions and</w:t>
      </w:r>
      <w:r w:rsidRPr="00B706A5">
        <w:t xml:space="preserve"> may result in FSANZ arriving at a different </w:t>
      </w:r>
      <w:r w:rsidR="004A7167" w:rsidRPr="001F0342">
        <w:t>conclusion</w:t>
      </w:r>
      <w:r w:rsidRPr="001F0342">
        <w:t xml:space="preserve">. </w:t>
      </w:r>
    </w:p>
    <w:p w14:paraId="06FF629A" w14:textId="48E3DFE0" w:rsidR="00726C2F" w:rsidRDefault="007B1E51" w:rsidP="00BA391F">
      <w:pPr>
        <w:pStyle w:val="Heading3"/>
      </w:pPr>
      <w:bookmarkStart w:id="90" w:name="_Toc26980516"/>
      <w:r>
        <w:t>5</w:t>
      </w:r>
      <w:r w:rsidR="00726C2F">
        <w:t>.</w:t>
      </w:r>
      <w:r>
        <w:t>1</w:t>
      </w:r>
      <w:r w:rsidR="00726C2F">
        <w:t>.</w:t>
      </w:r>
      <w:r>
        <w:t>2</w:t>
      </w:r>
      <w:r w:rsidR="00726C2F">
        <w:tab/>
        <w:t>Other measures</w:t>
      </w:r>
      <w:bookmarkEnd w:id="90"/>
    </w:p>
    <w:p w14:paraId="0E765A3B" w14:textId="4664141B" w:rsidR="00726C2F" w:rsidRPr="009C101B" w:rsidRDefault="002F7B92" w:rsidP="004C01F6">
      <w:pPr>
        <w:widowControl/>
      </w:pPr>
      <w:r>
        <w:t>At this stage FSANZ is not aware of any measures which would be more</w:t>
      </w:r>
      <w:r w:rsidR="000179B9">
        <w:t xml:space="preserve"> </w:t>
      </w:r>
      <w:r w:rsidR="00726C2F">
        <w:t xml:space="preserve">cost-effective than a food regulatory measure developed or varied as a result of the </w:t>
      </w:r>
      <w:r w:rsidR="00726C2F" w:rsidRPr="009C101B">
        <w:t>Application.</w:t>
      </w:r>
      <w:r w:rsidRPr="009C101B">
        <w:t xml:space="preserve"> FSANZ seeks comments on this assessment to inform its decision on preparation of draft variation.</w:t>
      </w:r>
    </w:p>
    <w:p w14:paraId="6D704A52" w14:textId="5B3344F0" w:rsidR="00726C2F" w:rsidRDefault="007B1E51" w:rsidP="00BA391F">
      <w:pPr>
        <w:pStyle w:val="Heading3"/>
      </w:pPr>
      <w:bookmarkStart w:id="91" w:name="_Toc26980517"/>
      <w:r>
        <w:t>5.1</w:t>
      </w:r>
      <w:r w:rsidR="008B0075">
        <w:t>.</w:t>
      </w:r>
      <w:r w:rsidR="00C519EF">
        <w:t>3</w:t>
      </w:r>
      <w:r w:rsidR="008B0075">
        <w:tab/>
        <w:t>A</w:t>
      </w:r>
      <w:r w:rsidR="00726C2F" w:rsidRPr="00914030">
        <w:t>ny relevant New Zealand standards</w:t>
      </w:r>
      <w:bookmarkEnd w:id="91"/>
    </w:p>
    <w:p w14:paraId="07E0112C" w14:textId="77777777" w:rsidR="008B0075" w:rsidRDefault="008B0075" w:rsidP="004C01F6">
      <w:pPr>
        <w:widowControl/>
        <w:rPr>
          <w:lang w:bidi="ar-SA"/>
        </w:rPr>
      </w:pPr>
      <w:r>
        <w:rPr>
          <w:lang w:bidi="ar-SA"/>
        </w:rPr>
        <w:t>There are no relevant New Zealand Standards.</w:t>
      </w:r>
    </w:p>
    <w:p w14:paraId="1BD4C8DD" w14:textId="48DC2B02" w:rsidR="008B5567" w:rsidRDefault="007B1E51" w:rsidP="0055530C">
      <w:pPr>
        <w:pStyle w:val="Heading3"/>
      </w:pPr>
      <w:bookmarkStart w:id="92" w:name="_Toc26980518"/>
      <w:r>
        <w:t>5.1</w:t>
      </w:r>
      <w:r w:rsidR="00BE3818">
        <w:t>.</w:t>
      </w:r>
      <w:r w:rsidR="0055530C">
        <w:t>4</w:t>
      </w:r>
      <w:r w:rsidR="00BE3818">
        <w:tab/>
      </w:r>
      <w:r w:rsidR="0027513D">
        <w:t>A</w:t>
      </w:r>
      <w:r w:rsidR="00BE3818">
        <w:t>ny other relevant matters</w:t>
      </w:r>
      <w:bookmarkEnd w:id="92"/>
    </w:p>
    <w:p w14:paraId="4D2A8D2B" w14:textId="77777777" w:rsidR="00BE3818" w:rsidRDefault="008B5567" w:rsidP="004C01F6">
      <w:pPr>
        <w:widowControl/>
        <w:rPr>
          <w:lang w:bidi="ar-SA"/>
        </w:rPr>
      </w:pPr>
      <w:r>
        <w:t>Other relevant matters are considered below</w:t>
      </w:r>
      <w:r w:rsidR="00BE3818">
        <w:rPr>
          <w:lang w:bidi="ar-SA"/>
        </w:rPr>
        <w:t>.</w:t>
      </w:r>
      <w:r>
        <w:t xml:space="preserve"> </w:t>
      </w:r>
    </w:p>
    <w:p w14:paraId="74767E03" w14:textId="77CD67B2" w:rsidR="00022DBC" w:rsidRPr="00914030" w:rsidRDefault="0055530C" w:rsidP="00BA391F">
      <w:pPr>
        <w:pStyle w:val="Heading2"/>
      </w:pPr>
      <w:bookmarkStart w:id="93" w:name="_Toc300761897"/>
      <w:bookmarkStart w:id="94" w:name="_Toc300933440"/>
      <w:bookmarkStart w:id="95" w:name="_Toc26284656"/>
      <w:bookmarkStart w:id="96" w:name="_Toc26980519"/>
      <w:r>
        <w:t>5.2</w:t>
      </w:r>
      <w:r w:rsidR="003110F9">
        <w:tab/>
      </w:r>
      <w:r w:rsidR="00BE3818">
        <w:t>Subsection 18(1)</w:t>
      </w:r>
      <w:bookmarkEnd w:id="93"/>
      <w:bookmarkEnd w:id="94"/>
      <w:bookmarkEnd w:id="95"/>
      <w:bookmarkEnd w:id="96"/>
    </w:p>
    <w:p w14:paraId="00CD3FAA" w14:textId="77777777" w:rsidR="00022DBC" w:rsidRPr="00914030" w:rsidRDefault="00022DBC" w:rsidP="004C01F6">
      <w:pPr>
        <w:widowControl/>
      </w:pPr>
      <w:r w:rsidRPr="00914030">
        <w:rPr>
          <w:rFonts w:cs="Arial"/>
        </w:rPr>
        <w:t xml:space="preserve">FSANZ has also </w:t>
      </w:r>
      <w:r w:rsidRPr="00914030">
        <w:t xml:space="preserve">considered the three objectives in subsection 18(1) of the </w:t>
      </w:r>
      <w:r>
        <w:t>FSANZ Act during the assessment.</w:t>
      </w:r>
    </w:p>
    <w:p w14:paraId="5D1018EC" w14:textId="0D2371FD" w:rsidR="00022DBC" w:rsidRDefault="0055530C" w:rsidP="00BA391F">
      <w:pPr>
        <w:pStyle w:val="Heading3"/>
      </w:pPr>
      <w:bookmarkStart w:id="97" w:name="_Toc297029117"/>
      <w:bookmarkStart w:id="98" w:name="_Toc300761898"/>
      <w:bookmarkStart w:id="99" w:name="_Toc300933441"/>
      <w:bookmarkStart w:id="100" w:name="_Toc26980520"/>
      <w:r>
        <w:t>5.2.1</w:t>
      </w:r>
      <w:r w:rsidR="00022DBC" w:rsidRPr="00914030">
        <w:tab/>
        <w:t>Protection of public health and safety</w:t>
      </w:r>
      <w:bookmarkEnd w:id="97"/>
      <w:bookmarkEnd w:id="98"/>
      <w:bookmarkEnd w:id="99"/>
      <w:bookmarkEnd w:id="100"/>
    </w:p>
    <w:p w14:paraId="47B76334" w14:textId="1E457516" w:rsidR="009334B4" w:rsidRPr="001A6DFD" w:rsidRDefault="009334B4" w:rsidP="004C01F6">
      <w:pPr>
        <w:widowControl/>
      </w:pPr>
      <w:r w:rsidRPr="001A6DFD">
        <w:t>F</w:t>
      </w:r>
      <w:r>
        <w:t xml:space="preserve">SANZ has completed a </w:t>
      </w:r>
      <w:r w:rsidR="000F3F44">
        <w:t>risk</w:t>
      </w:r>
      <w:r>
        <w:t xml:space="preserve"> </w:t>
      </w:r>
      <w:r w:rsidR="006048D4">
        <w:t xml:space="preserve">and technical </w:t>
      </w:r>
      <w:r w:rsidRPr="001A6DFD">
        <w:t xml:space="preserve">assessment (SD1) which is summarised in section </w:t>
      </w:r>
      <w:r w:rsidR="001A6835">
        <w:t>2</w:t>
      </w:r>
      <w:r w:rsidRPr="001A6DFD">
        <w:t xml:space="preserve">. The assessment concluded that there are no public health and safety concerns associated with </w:t>
      </w:r>
      <w:r>
        <w:t>permitting soy leghemoglobin</w:t>
      </w:r>
      <w:r w:rsidR="00953051">
        <w:t xml:space="preserve"> (via LegH Prep)</w:t>
      </w:r>
      <w:r>
        <w:t xml:space="preserve"> in meat analogue products </w:t>
      </w:r>
      <w:r w:rsidRPr="006D7863">
        <w:t xml:space="preserve">at the requested </w:t>
      </w:r>
      <w:r>
        <w:t>level</w:t>
      </w:r>
      <w:r w:rsidR="00953051">
        <w:t xml:space="preserve"> of up to 0.8%</w:t>
      </w:r>
      <w:r w:rsidRPr="006D7863">
        <w:t xml:space="preserve">. </w:t>
      </w:r>
    </w:p>
    <w:p w14:paraId="04199EC5" w14:textId="007BBC7D" w:rsidR="00022DBC" w:rsidRPr="00914030" w:rsidRDefault="0055530C" w:rsidP="00BA391F">
      <w:pPr>
        <w:pStyle w:val="Heading3"/>
      </w:pPr>
      <w:bookmarkStart w:id="101" w:name="_Toc300761899"/>
      <w:bookmarkStart w:id="102" w:name="_Toc300933442"/>
      <w:bookmarkStart w:id="103" w:name="_Toc26980521"/>
      <w:r>
        <w:t>5.2.2</w:t>
      </w:r>
      <w:r w:rsidR="00022DBC" w:rsidRPr="00914030">
        <w:tab/>
        <w:t>The provision of adequate information relating to food to enable consumers to make informed choices</w:t>
      </w:r>
      <w:bookmarkEnd w:id="101"/>
      <w:bookmarkEnd w:id="102"/>
      <w:bookmarkEnd w:id="103"/>
    </w:p>
    <w:p w14:paraId="65EC9081" w14:textId="2A2E1ECF" w:rsidR="00022DBC" w:rsidRPr="00E073E5" w:rsidRDefault="00833856" w:rsidP="004C01F6">
      <w:pPr>
        <w:widowControl/>
      </w:pPr>
      <w:r>
        <w:t xml:space="preserve">Existing </w:t>
      </w:r>
      <w:r w:rsidR="00E073E5" w:rsidRPr="00E073E5">
        <w:t xml:space="preserve">labelling requirements would apply to </w:t>
      </w:r>
      <w:r w:rsidR="004A7167" w:rsidRPr="004A7167">
        <w:t>soy leghemoglobin</w:t>
      </w:r>
      <w:r w:rsidR="00E073E5" w:rsidRPr="004A7167">
        <w:t xml:space="preserve"> </w:t>
      </w:r>
      <w:r w:rsidR="00E073E5" w:rsidRPr="00E073E5">
        <w:t xml:space="preserve">when added as an ingredient to meat analogue products, as discussed in </w:t>
      </w:r>
      <w:r w:rsidR="00E073E5" w:rsidRPr="00273289">
        <w:t xml:space="preserve">section </w:t>
      </w:r>
      <w:r w:rsidR="00A16D7F">
        <w:t>3.2</w:t>
      </w:r>
      <w:r w:rsidR="00953051">
        <w:t xml:space="preserve">, which would provide </w:t>
      </w:r>
      <w:r w:rsidR="00E073E5" w:rsidRPr="00E073E5">
        <w:t>information to enable consumers to make an informed choice.</w:t>
      </w:r>
    </w:p>
    <w:p w14:paraId="3F7093C2" w14:textId="4A25C73D" w:rsidR="00022DBC" w:rsidRPr="00914030" w:rsidRDefault="0055530C" w:rsidP="002B2615">
      <w:pPr>
        <w:pStyle w:val="Heading3"/>
      </w:pPr>
      <w:bookmarkStart w:id="104" w:name="_Toc300761900"/>
      <w:bookmarkStart w:id="105" w:name="_Toc300933443"/>
      <w:bookmarkStart w:id="106" w:name="_Toc26980522"/>
      <w:r>
        <w:t>5.2.3</w:t>
      </w:r>
      <w:r w:rsidR="00022DBC" w:rsidRPr="00914030">
        <w:tab/>
        <w:t>The prevention of misleading or deceptive conduct</w:t>
      </w:r>
      <w:bookmarkEnd w:id="104"/>
      <w:bookmarkEnd w:id="105"/>
      <w:bookmarkEnd w:id="106"/>
    </w:p>
    <w:p w14:paraId="7823F885" w14:textId="7B0966EE" w:rsidR="009334B4" w:rsidRPr="00523BA7" w:rsidRDefault="00B41DA4" w:rsidP="004C01F6">
      <w:pPr>
        <w:widowControl/>
        <w:rPr>
          <w:rFonts w:cs="Arial"/>
          <w:szCs w:val="22"/>
        </w:rPr>
      </w:pPr>
      <w:r>
        <w:rPr>
          <w:rFonts w:cs="Arial"/>
          <w:szCs w:val="22"/>
        </w:rPr>
        <w:t xml:space="preserve">The </w:t>
      </w:r>
      <w:r w:rsidR="009334B4" w:rsidRPr="00DA5399">
        <w:rPr>
          <w:rFonts w:cs="Arial"/>
          <w:szCs w:val="22"/>
        </w:rPr>
        <w:t>labelling requirements</w:t>
      </w:r>
      <w:r>
        <w:rPr>
          <w:rFonts w:cs="Arial"/>
          <w:szCs w:val="22"/>
        </w:rPr>
        <w:t xml:space="preserve"> in section </w:t>
      </w:r>
      <w:r w:rsidR="00A16D7F">
        <w:rPr>
          <w:rFonts w:cs="Arial"/>
          <w:szCs w:val="22"/>
        </w:rPr>
        <w:t>3.2</w:t>
      </w:r>
      <w:r>
        <w:rPr>
          <w:rFonts w:cs="Arial"/>
          <w:szCs w:val="22"/>
        </w:rPr>
        <w:t xml:space="preserve"> </w:t>
      </w:r>
      <w:r w:rsidR="009334B4" w:rsidRPr="00DA5399">
        <w:rPr>
          <w:rFonts w:cs="Arial"/>
          <w:szCs w:val="22"/>
        </w:rPr>
        <w:t>w</w:t>
      </w:r>
      <w:r>
        <w:rPr>
          <w:rFonts w:cs="Arial"/>
          <w:szCs w:val="22"/>
        </w:rPr>
        <w:t>ould address this objective.</w:t>
      </w:r>
      <w:r w:rsidR="009334B4" w:rsidRPr="00DA5399">
        <w:rPr>
          <w:rFonts w:cs="Arial"/>
          <w:szCs w:val="22"/>
        </w:rPr>
        <w:t xml:space="preserve"> </w:t>
      </w:r>
    </w:p>
    <w:p w14:paraId="4A49277A" w14:textId="3B0F8E4F" w:rsidR="00022DBC" w:rsidRPr="00914030" w:rsidRDefault="00CD6446" w:rsidP="00BA391F">
      <w:pPr>
        <w:pStyle w:val="Heading2"/>
      </w:pPr>
      <w:bookmarkStart w:id="107" w:name="_Toc300761901"/>
      <w:bookmarkStart w:id="108" w:name="_Toc300933444"/>
      <w:bookmarkStart w:id="109" w:name="_Toc26284657"/>
      <w:bookmarkStart w:id="110" w:name="_Toc26980523"/>
      <w:r>
        <w:t>5.3</w:t>
      </w:r>
      <w:r w:rsidR="00022DBC" w:rsidRPr="00914030">
        <w:tab/>
        <w:t xml:space="preserve">Subsection 18(2) </w:t>
      </w:r>
      <w:bookmarkEnd w:id="107"/>
      <w:bookmarkEnd w:id="108"/>
      <w:r w:rsidR="00022DBC" w:rsidRPr="00914030">
        <w:t>considerations</w:t>
      </w:r>
      <w:bookmarkEnd w:id="109"/>
      <w:bookmarkEnd w:id="110"/>
    </w:p>
    <w:p w14:paraId="737C5E17" w14:textId="77777777" w:rsidR="00022DBC" w:rsidRPr="00914030" w:rsidRDefault="00022DBC" w:rsidP="004C01F6">
      <w:pPr>
        <w:widowControl/>
        <w:rPr>
          <w:rFonts w:cs="Arial"/>
        </w:rPr>
      </w:pPr>
      <w:r w:rsidRPr="00914030">
        <w:rPr>
          <w:rFonts w:cs="Arial"/>
        </w:rPr>
        <w:t>FSANZ has also had regard to:</w:t>
      </w:r>
    </w:p>
    <w:p w14:paraId="05329258" w14:textId="77777777" w:rsidR="00022DBC" w:rsidRPr="00914030" w:rsidRDefault="00022DBC" w:rsidP="004C01F6">
      <w:pPr>
        <w:widowControl/>
        <w:rPr>
          <w:rFonts w:cs="Arial"/>
        </w:rPr>
      </w:pPr>
    </w:p>
    <w:p w14:paraId="0024E25C" w14:textId="77777777" w:rsidR="00022DBC" w:rsidRPr="008828D9" w:rsidRDefault="00022DBC" w:rsidP="004C01F6">
      <w:pPr>
        <w:pStyle w:val="FSBullet1"/>
        <w:rPr>
          <w:b/>
        </w:rPr>
      </w:pPr>
      <w:r w:rsidRPr="008828D9">
        <w:rPr>
          <w:b/>
        </w:rPr>
        <w:t>the need for standards to be based on risk analysis using the best available scientific evidence</w:t>
      </w:r>
    </w:p>
    <w:p w14:paraId="220C933A" w14:textId="77777777" w:rsidR="008828D9" w:rsidRDefault="008828D9" w:rsidP="004C01F6">
      <w:pPr>
        <w:widowControl/>
        <w:rPr>
          <w:lang w:bidi="ar-SA"/>
        </w:rPr>
      </w:pPr>
    </w:p>
    <w:p w14:paraId="6202154A" w14:textId="061933B5" w:rsidR="009334B4" w:rsidRPr="001A6DFD" w:rsidRDefault="009334B4" w:rsidP="004C01F6">
      <w:pPr>
        <w:widowControl/>
      </w:pPr>
      <w:r w:rsidRPr="00087609">
        <w:t xml:space="preserve">FSANZ has used the best available scientific evidence to assess this application. The </w:t>
      </w:r>
      <w:r w:rsidR="00692837">
        <w:t>applicant</w:t>
      </w:r>
      <w:r w:rsidRPr="00087609">
        <w:t xml:space="preserve"> submitted a dossier of scientific studies as part of its application. Other re</w:t>
      </w:r>
      <w:r>
        <w:t>levant</w:t>
      </w:r>
      <w:r w:rsidRPr="00087609">
        <w:t xml:space="preserve"> information</w:t>
      </w:r>
      <w:r>
        <w:t xml:space="preserve"> </w:t>
      </w:r>
      <w:r w:rsidRPr="00087609">
        <w:t>including scientific literature</w:t>
      </w:r>
      <w:r>
        <w:t>,</w:t>
      </w:r>
      <w:r w:rsidRPr="00087609">
        <w:t xml:space="preserve"> was also used in assessing the application.</w:t>
      </w:r>
    </w:p>
    <w:p w14:paraId="553E9F34" w14:textId="5B4CF805" w:rsidR="008828D9" w:rsidRPr="008828D9" w:rsidRDefault="008828D9" w:rsidP="004C01F6">
      <w:pPr>
        <w:widowControl/>
        <w:rPr>
          <w:lang w:bidi="ar-SA"/>
        </w:rPr>
      </w:pPr>
    </w:p>
    <w:p w14:paraId="5E6E6B53" w14:textId="77777777" w:rsidR="00022DBC" w:rsidRPr="008828D9" w:rsidRDefault="00022DBC" w:rsidP="004C01F6">
      <w:pPr>
        <w:pStyle w:val="FSBullet1"/>
        <w:rPr>
          <w:b/>
        </w:rPr>
      </w:pPr>
      <w:r w:rsidRPr="008828D9">
        <w:rPr>
          <w:b/>
        </w:rPr>
        <w:t>the promotion of consistency between domestic and international food standards</w:t>
      </w:r>
    </w:p>
    <w:p w14:paraId="4D183C66" w14:textId="77777777" w:rsidR="008828D9" w:rsidRDefault="008828D9" w:rsidP="004C01F6">
      <w:pPr>
        <w:widowControl/>
        <w:rPr>
          <w:lang w:bidi="ar-SA"/>
        </w:rPr>
      </w:pPr>
    </w:p>
    <w:p w14:paraId="0E896DBB" w14:textId="68D7B313" w:rsidR="009334B4" w:rsidRDefault="00953051" w:rsidP="004C01F6">
      <w:pPr>
        <w:widowControl/>
        <w:ind w:right="-286"/>
      </w:pPr>
      <w:r>
        <w:t>S</w:t>
      </w:r>
      <w:r w:rsidR="009334B4">
        <w:t xml:space="preserve">oy leghemoglobin is permitted for use and sold in </w:t>
      </w:r>
      <w:r>
        <w:t>Impossible Foods</w:t>
      </w:r>
      <w:r w:rsidR="009334B4">
        <w:t xml:space="preserve"> meat analogue products </w:t>
      </w:r>
      <w:r>
        <w:t xml:space="preserve">in some countries </w:t>
      </w:r>
      <w:r w:rsidR="009334B4">
        <w:t>overseas, including in the US, Singapore, Hong Kong</w:t>
      </w:r>
      <w:r w:rsidR="00604660">
        <w:t xml:space="preserve"> and Macao</w:t>
      </w:r>
      <w:r w:rsidR="009334B4">
        <w:t xml:space="preserve">. </w:t>
      </w:r>
      <w:r>
        <w:t>An application is currently being consider</w:t>
      </w:r>
      <w:r w:rsidR="007E4131">
        <w:t>ed</w:t>
      </w:r>
      <w:r>
        <w:t xml:space="preserve"> by EFSA for permissions in the European Union. </w:t>
      </w:r>
      <w:r w:rsidR="009334B4">
        <w:t xml:space="preserve">Permitting </w:t>
      </w:r>
      <w:r w:rsidR="00604660">
        <w:t xml:space="preserve">soy leghemoglobin at the </w:t>
      </w:r>
      <w:r>
        <w:t>requested</w:t>
      </w:r>
      <w:r w:rsidR="00604660">
        <w:t xml:space="preserve"> level</w:t>
      </w:r>
      <w:r w:rsidR="009334B4">
        <w:t xml:space="preserve"> </w:t>
      </w:r>
      <w:r w:rsidR="004A7167">
        <w:t xml:space="preserve">of </w:t>
      </w:r>
      <w:r>
        <w:t xml:space="preserve">up to </w:t>
      </w:r>
      <w:r w:rsidR="004A7167">
        <w:t>0.8%</w:t>
      </w:r>
      <w:r>
        <w:t>,</w:t>
      </w:r>
      <w:r w:rsidR="004A7167">
        <w:t xml:space="preserve"> </w:t>
      </w:r>
      <w:r w:rsidR="00703045">
        <w:t>would</w:t>
      </w:r>
      <w:r w:rsidR="009334B4" w:rsidRPr="00B21422">
        <w:t xml:space="preserve"> promote </w:t>
      </w:r>
      <w:r w:rsidR="009334B4">
        <w:t>greater compatibility</w:t>
      </w:r>
      <w:r w:rsidR="009334B4" w:rsidRPr="00B21422">
        <w:t xml:space="preserve"> between domestic and </w:t>
      </w:r>
      <w:r w:rsidR="009334B4">
        <w:t>overseas</w:t>
      </w:r>
      <w:r w:rsidR="009334B4" w:rsidRPr="00B21422">
        <w:t xml:space="preserve"> food standards</w:t>
      </w:r>
      <w:r w:rsidR="009334B4">
        <w:t xml:space="preserve"> for </w:t>
      </w:r>
      <w:r w:rsidR="00604660">
        <w:t>meat analogue</w:t>
      </w:r>
      <w:r w:rsidR="009334B4">
        <w:t xml:space="preserve"> products. The </w:t>
      </w:r>
      <w:r w:rsidR="00703045">
        <w:t>applicant’s</w:t>
      </w:r>
      <w:r w:rsidR="009334B4">
        <w:t xml:space="preserve"> proposed specifications </w:t>
      </w:r>
      <w:r>
        <w:t xml:space="preserve">for LegH Prep </w:t>
      </w:r>
      <w:r w:rsidR="009334B4">
        <w:t xml:space="preserve">are </w:t>
      </w:r>
      <w:r w:rsidR="00604660">
        <w:t>the same as</w:t>
      </w:r>
      <w:r>
        <w:t xml:space="preserve"> those approved in other countries</w:t>
      </w:r>
      <w:r w:rsidR="009334B4">
        <w:t>.</w:t>
      </w:r>
    </w:p>
    <w:p w14:paraId="50CF63FC" w14:textId="437E6EAF" w:rsidR="008828D9" w:rsidRPr="008828D9" w:rsidRDefault="008828D9" w:rsidP="004C01F6">
      <w:pPr>
        <w:widowControl/>
        <w:rPr>
          <w:lang w:bidi="ar-SA"/>
        </w:rPr>
      </w:pPr>
    </w:p>
    <w:p w14:paraId="3F3B9D14" w14:textId="77777777" w:rsidR="00022DBC" w:rsidRPr="008828D9" w:rsidRDefault="00022DBC" w:rsidP="004C01F6">
      <w:pPr>
        <w:pStyle w:val="FSBullet1"/>
        <w:rPr>
          <w:b/>
        </w:rPr>
      </w:pPr>
      <w:r w:rsidRPr="008828D9">
        <w:rPr>
          <w:b/>
        </w:rPr>
        <w:t>the desirability of an efficient and internationally competitive food industry</w:t>
      </w:r>
    </w:p>
    <w:p w14:paraId="6D05DCA2" w14:textId="77777777" w:rsidR="008828D9" w:rsidRDefault="008828D9" w:rsidP="004C01F6">
      <w:pPr>
        <w:widowControl/>
        <w:rPr>
          <w:lang w:bidi="ar-SA"/>
        </w:rPr>
      </w:pPr>
    </w:p>
    <w:p w14:paraId="09DE9509" w14:textId="0905DFDC" w:rsidR="00604660" w:rsidRPr="00B21422" w:rsidRDefault="00706CD2" w:rsidP="004C01F6">
      <w:pPr>
        <w:widowControl/>
        <w:ind w:right="-286"/>
      </w:pPr>
      <w:r>
        <w:t>Permitting soy leghemoglobin in meat analogue products in the Code would support an internationally competitive food industry.</w:t>
      </w:r>
    </w:p>
    <w:p w14:paraId="0E71D122" w14:textId="470C9833" w:rsidR="008828D9" w:rsidRPr="008828D9" w:rsidRDefault="00604660" w:rsidP="004C01F6">
      <w:pPr>
        <w:widowControl/>
        <w:rPr>
          <w:lang w:bidi="ar-SA"/>
        </w:rPr>
      </w:pPr>
      <w:r w:rsidRPr="00BE3818" w:rsidDel="00604660">
        <w:rPr>
          <w:color w:val="00B050"/>
        </w:rPr>
        <w:t xml:space="preserve"> </w:t>
      </w:r>
    </w:p>
    <w:p w14:paraId="3F70BF32" w14:textId="77777777" w:rsidR="00022DBC" w:rsidRPr="008828D9" w:rsidRDefault="00022DBC" w:rsidP="004C01F6">
      <w:pPr>
        <w:pStyle w:val="FSBullet1"/>
        <w:rPr>
          <w:b/>
        </w:rPr>
      </w:pPr>
      <w:r w:rsidRPr="008828D9">
        <w:rPr>
          <w:b/>
        </w:rPr>
        <w:t>the promotion of fair trading in food</w:t>
      </w:r>
    </w:p>
    <w:p w14:paraId="6363C3B1" w14:textId="77777777" w:rsidR="008828D9" w:rsidRDefault="008828D9" w:rsidP="004C01F6">
      <w:pPr>
        <w:widowControl/>
        <w:rPr>
          <w:lang w:bidi="ar-SA"/>
        </w:rPr>
      </w:pPr>
    </w:p>
    <w:p w14:paraId="02D918FB" w14:textId="1CEDF621" w:rsidR="008828D9" w:rsidRDefault="00706CD2" w:rsidP="004C01F6">
      <w:pPr>
        <w:widowControl/>
      </w:pPr>
      <w:r w:rsidRPr="00CA6CF4">
        <w:t>No negative impact is anticipated on fair trading</w:t>
      </w:r>
    </w:p>
    <w:p w14:paraId="7008003D" w14:textId="77777777" w:rsidR="00CA6CF4" w:rsidRPr="00CA6CF4" w:rsidRDefault="00CA6CF4" w:rsidP="004C01F6">
      <w:pPr>
        <w:widowControl/>
        <w:rPr>
          <w:lang w:bidi="ar-SA"/>
        </w:rPr>
      </w:pPr>
    </w:p>
    <w:p w14:paraId="5DA00224" w14:textId="77777777" w:rsidR="00022DBC" w:rsidRPr="005E2F53" w:rsidRDefault="00022DBC" w:rsidP="004C01F6">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4C01F6">
      <w:pPr>
        <w:widowControl/>
        <w:rPr>
          <w:lang w:bidi="ar-SA"/>
        </w:rPr>
      </w:pPr>
    </w:p>
    <w:p w14:paraId="057DBC7D" w14:textId="0E963B6F" w:rsidR="00706CD2" w:rsidRDefault="00923E47" w:rsidP="004C01F6">
      <w:pPr>
        <w:widowControl/>
      </w:pPr>
      <w:r>
        <w:t xml:space="preserve">The Policy Guideline </w:t>
      </w:r>
      <w:r w:rsidR="00CD6446">
        <w:t xml:space="preserve">for the </w:t>
      </w:r>
      <w:r w:rsidR="00C532EB">
        <w:t>F</w:t>
      </w:r>
      <w:r w:rsidR="00C532EB" w:rsidRPr="00CD6446">
        <w:t>ortification of food with Vitamins and Minerals</w:t>
      </w:r>
      <w:r w:rsidR="00C532EB">
        <w:t xml:space="preserve"> </w:t>
      </w:r>
      <w:r>
        <w:t xml:space="preserve">relies on the need for the mineral to be bioavailable to potentially support the nutritional adequacy of the local diet. Based on the assessment of bioavailability, </w:t>
      </w:r>
      <w:r w:rsidR="00706CD2" w:rsidRPr="00EB2937">
        <w:t>FSANZ</w:t>
      </w:r>
      <w:r w:rsidR="00706CD2">
        <w:t xml:space="preserve"> considers that </w:t>
      </w:r>
      <w:r>
        <w:t>the Policy Guideline has</w:t>
      </w:r>
      <w:r w:rsidR="00706CD2">
        <w:t xml:space="preserve"> been met.</w:t>
      </w:r>
    </w:p>
    <w:p w14:paraId="0E215AB6" w14:textId="0E5E423E" w:rsidR="00D26814" w:rsidRPr="001F0342" w:rsidRDefault="00D26814" w:rsidP="004C01F6">
      <w:pPr>
        <w:widowControl/>
        <w:rPr>
          <w:rFonts w:cs="Arial"/>
        </w:rPr>
      </w:pPr>
      <w:bookmarkStart w:id="111" w:name="_Toc286391014"/>
      <w:bookmarkStart w:id="112" w:name="_Toc175381455"/>
      <w:bookmarkStart w:id="113" w:name="_Toc300933445"/>
      <w:bookmarkStart w:id="114" w:name="_Toc11735643"/>
      <w:bookmarkStart w:id="115" w:name="_Toc29883130"/>
      <w:bookmarkStart w:id="116" w:name="_Toc41906817"/>
      <w:bookmarkStart w:id="117" w:name="_Toc41907564"/>
      <w:bookmarkStart w:id="118" w:name="_Toc43112360"/>
      <w:bookmarkEnd w:id="38"/>
      <w:bookmarkEnd w:id="39"/>
      <w:bookmarkEnd w:id="40"/>
      <w:bookmarkEnd w:id="41"/>
      <w:bookmarkEnd w:id="42"/>
      <w:bookmarkEnd w:id="43"/>
      <w:bookmarkEnd w:id="57"/>
      <w:bookmarkEnd w:id="111"/>
      <w:bookmarkEnd w:id="112"/>
      <w:bookmarkEnd w:id="113"/>
    </w:p>
    <w:p w14:paraId="30A1B3E9" w14:textId="54FC7701" w:rsidR="00924C80" w:rsidRPr="001F0342" w:rsidRDefault="00085D5F" w:rsidP="004C01F6">
      <w:pPr>
        <w:pStyle w:val="Heading1"/>
        <w:keepNext w:val="0"/>
        <w:widowControl/>
      </w:pPr>
      <w:bookmarkStart w:id="119" w:name="_Toc300933452"/>
      <w:bookmarkStart w:id="120" w:name="_Toc26284658"/>
      <w:bookmarkStart w:id="121" w:name="_Toc26980524"/>
      <w:r>
        <w:t>6</w:t>
      </w:r>
      <w:r w:rsidR="00924C80" w:rsidRPr="001F0342">
        <w:tab/>
        <w:t>R</w:t>
      </w:r>
      <w:bookmarkEnd w:id="119"/>
      <w:r w:rsidR="006C28E2" w:rsidRPr="001F0342">
        <w:t>eferences</w:t>
      </w:r>
      <w:bookmarkEnd w:id="120"/>
      <w:bookmarkEnd w:id="121"/>
    </w:p>
    <w:p w14:paraId="3F97837E" w14:textId="7A35C588" w:rsidR="00AA14E8" w:rsidRDefault="00AA14E8" w:rsidP="004C01F6">
      <w:pPr>
        <w:widowControl/>
        <w:rPr>
          <w:rFonts w:cs="Arial"/>
          <w:szCs w:val="22"/>
        </w:rPr>
      </w:pPr>
      <w:bookmarkStart w:id="122" w:name="_Hlk11831438"/>
    </w:p>
    <w:p w14:paraId="39FC3170" w14:textId="75E1D100" w:rsidR="001263A5" w:rsidRPr="0083165C" w:rsidRDefault="001263A5" w:rsidP="004C01F6">
      <w:pPr>
        <w:widowControl/>
        <w:rPr>
          <w:rFonts w:cs="Arial"/>
          <w:color w:val="000000"/>
          <w:lang w:val="en-AU"/>
        </w:rPr>
      </w:pPr>
      <w:r w:rsidRPr="0083165C">
        <w:rPr>
          <w:rFonts w:cs="Arial"/>
          <w:szCs w:val="22"/>
        </w:rPr>
        <w:t xml:space="preserve">SFA (2019). </w:t>
      </w:r>
      <w:r w:rsidRPr="0068372A">
        <w:rPr>
          <w:rFonts w:cs="Arial"/>
          <w:iCs/>
          <w:szCs w:val="22"/>
        </w:rPr>
        <w:t>Food Additives Permitted Under the Singapore Food Regulations</w:t>
      </w:r>
      <w:r w:rsidRPr="0068372A">
        <w:rPr>
          <w:rFonts w:cs="Arial"/>
          <w:szCs w:val="22"/>
        </w:rPr>
        <w:t>.</w:t>
      </w:r>
      <w:r w:rsidRPr="0083165C">
        <w:rPr>
          <w:rFonts w:cs="Arial"/>
          <w:szCs w:val="22"/>
        </w:rPr>
        <w:t xml:space="preserve"> (28 May 2019). Singapore Food Agency (SFA). Available at: </w:t>
      </w:r>
      <w:hyperlink r:id="rId21" w:history="1">
        <w:r w:rsidR="0083165C" w:rsidRPr="0083165C">
          <w:rPr>
            <w:rStyle w:val="Hyperlink"/>
            <w:rFonts w:cs="Arial"/>
            <w:szCs w:val="22"/>
          </w:rPr>
          <w:t>https://www.sfa.gov.sg/legislation</w:t>
        </w:r>
      </w:hyperlink>
    </w:p>
    <w:p w14:paraId="6886890D" w14:textId="77777777" w:rsidR="001263A5" w:rsidRPr="0083165C" w:rsidRDefault="001263A5" w:rsidP="004C01F6">
      <w:pPr>
        <w:widowControl/>
        <w:rPr>
          <w:rFonts w:cs="Arial"/>
          <w:lang w:val="en-AU"/>
        </w:rPr>
      </w:pPr>
    </w:p>
    <w:p w14:paraId="6AF56AC2" w14:textId="03495ADA" w:rsidR="004B4AC0" w:rsidRPr="0083165C" w:rsidRDefault="004B4AC0" w:rsidP="004C01F6">
      <w:pPr>
        <w:widowControl/>
        <w:rPr>
          <w:rFonts w:cs="Arial"/>
          <w:lang w:val="en-AU"/>
        </w:rPr>
      </w:pPr>
      <w:r w:rsidRPr="0083165C">
        <w:rPr>
          <w:rFonts w:cs="Arial"/>
          <w:lang w:val="en-AU"/>
        </w:rPr>
        <w:t xml:space="preserve">Texas A&amp;M Institute (2019). </w:t>
      </w:r>
      <w:r w:rsidRPr="0068372A">
        <w:rPr>
          <w:rFonts w:cs="Arial"/>
          <w:lang w:val="en-AU"/>
        </w:rPr>
        <w:t>Meat Science: Meat Color.</w:t>
      </w:r>
      <w:r w:rsidRPr="0083165C">
        <w:rPr>
          <w:rFonts w:cs="Arial"/>
          <w:lang w:val="en-AU"/>
        </w:rPr>
        <w:t xml:space="preserve"> College Sta</w:t>
      </w:r>
      <w:r w:rsidR="007215F1" w:rsidRPr="0083165C">
        <w:rPr>
          <w:rFonts w:cs="Arial"/>
          <w:lang w:val="en-AU"/>
        </w:rPr>
        <w:t xml:space="preserve">tion (TX): Texas A&amp;M Institute. </w:t>
      </w:r>
      <w:r w:rsidRPr="0083165C">
        <w:rPr>
          <w:rFonts w:cs="Arial"/>
          <w:lang w:val="en-AU"/>
        </w:rPr>
        <w:t xml:space="preserve">Available at: </w:t>
      </w:r>
      <w:hyperlink r:id="rId22" w:history="1">
        <w:r w:rsidRPr="0083165C">
          <w:rPr>
            <w:rStyle w:val="Hyperlink"/>
            <w:rFonts w:cs="Arial"/>
            <w:lang w:val="en-AU"/>
          </w:rPr>
          <w:t>https://meat.tamu.edu/ansc-307-honors/meat-color/</w:t>
        </w:r>
      </w:hyperlink>
      <w:r w:rsidRPr="0083165C">
        <w:rPr>
          <w:rFonts w:cs="Arial"/>
          <w:lang w:val="en-AU"/>
        </w:rPr>
        <w:t xml:space="preserve"> [Last accessed: </w:t>
      </w:r>
      <w:r w:rsidR="0068372A">
        <w:rPr>
          <w:rFonts w:cs="Arial"/>
          <w:lang w:val="en-AU"/>
        </w:rPr>
        <w:t>20 October</w:t>
      </w:r>
      <w:r w:rsidRPr="0083165C">
        <w:rPr>
          <w:rFonts w:cs="Arial"/>
          <w:lang w:val="en-AU"/>
        </w:rPr>
        <w:t>, 2019]</w:t>
      </w:r>
    </w:p>
    <w:bookmarkEnd w:id="114"/>
    <w:bookmarkEnd w:id="115"/>
    <w:bookmarkEnd w:id="116"/>
    <w:bookmarkEnd w:id="117"/>
    <w:bookmarkEnd w:id="118"/>
    <w:bookmarkEnd w:id="122"/>
    <w:p w14:paraId="2F636915" w14:textId="77777777" w:rsidR="003C4969" w:rsidRPr="00924C80" w:rsidRDefault="00924C80" w:rsidP="004C01F6">
      <w:pPr>
        <w:widowControl/>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4C01F6">
      <w:pPr>
        <w:widowControl/>
      </w:pPr>
    </w:p>
    <w:p w14:paraId="1CB4ADAD" w14:textId="79B619E0" w:rsidR="007C174F" w:rsidRPr="00AA2155" w:rsidRDefault="00C97AA5" w:rsidP="004C01F6">
      <w:pPr>
        <w:widowControl/>
        <w:ind w:left="567" w:hanging="567"/>
      </w:pPr>
      <w:r>
        <w:t xml:space="preserve">SD1 – </w:t>
      </w:r>
      <w:r w:rsidR="002233ED">
        <w:t>Risk</w:t>
      </w:r>
      <w:r w:rsidR="00AA2155">
        <w:t xml:space="preserve"> </w:t>
      </w:r>
      <w:r w:rsidR="007D6541">
        <w:t>and technical a</w:t>
      </w:r>
      <w:r>
        <w:t>ssessment</w:t>
      </w:r>
      <w:bookmarkStart w:id="123" w:name="_Toc300933454"/>
      <w:bookmarkEnd w:id="123"/>
    </w:p>
    <w:sectPr w:rsidR="007C174F" w:rsidRPr="00AA2155" w:rsidSect="00CC36E7">
      <w:headerReference w:type="even" r:id="rId23"/>
      <w:headerReference w:type="default" r:id="rId24"/>
      <w:footerReference w:type="even" r:id="rId25"/>
      <w:footerReference w:type="default" r:id="rId26"/>
      <w:headerReference w:type="first" r:id="rId27"/>
      <w:footerReference w:type="first" r:id="rId28"/>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C63CC" w14:textId="77777777" w:rsidR="00142BD4" w:rsidRDefault="00142BD4">
      <w:r>
        <w:separator/>
      </w:r>
    </w:p>
  </w:endnote>
  <w:endnote w:type="continuationSeparator" w:id="0">
    <w:p w14:paraId="76A5BD01" w14:textId="77777777" w:rsidR="00142BD4" w:rsidRDefault="00142BD4">
      <w:r>
        <w:continuationSeparator/>
      </w:r>
    </w:p>
  </w:endnote>
  <w:endnote w:type="continuationNotice" w:id="1">
    <w:p w14:paraId="66F0652F" w14:textId="77777777" w:rsidR="00142BD4" w:rsidRDefault="00142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5449E" w14:textId="77777777" w:rsidR="004F6ED5" w:rsidRPr="004F6ED5" w:rsidRDefault="004F6ED5" w:rsidP="004F6ED5">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1511453" w14:textId="3726674C" w:rsidR="00142BD4" w:rsidRDefault="004F6ED5" w:rsidP="004F6ED5">
    <w:pPr>
      <w:pStyle w:val="Footer"/>
      <w:framePr w:wrap="around" w:vAnchor="text" w:hAnchor="margin" w:xAlign="center" w:y="1"/>
      <w:jc w:val="center"/>
      <w:rPr>
        <w:rStyle w:val="PageNumber"/>
      </w:rPr>
    </w:pPr>
    <w:r w:rsidRPr="004F6ED5">
      <w:rPr>
        <w:rStyle w:val="PageNumber"/>
        <w:rFonts w:ascii="Calibri" w:hAnsi="Calibri" w:cs="Calibri"/>
        <w:b/>
        <w:color w:val="F00000"/>
        <w:sz w:val="24"/>
      </w:rPr>
      <w:t>OFFICIAL</w:t>
    </w:r>
    <w:r>
      <w:rPr>
        <w:rStyle w:val="PageNumber"/>
      </w:rPr>
      <w:t xml:space="preserve"> </w:t>
    </w:r>
    <w:r>
      <w:rPr>
        <w:rStyle w:val="PageNumber"/>
      </w:rPr>
      <w:fldChar w:fldCharType="end"/>
    </w:r>
    <w:r w:rsidR="00142BD4">
      <w:rPr>
        <w:rStyle w:val="PageNumber"/>
      </w:rPr>
      <w:fldChar w:fldCharType="begin"/>
    </w:r>
    <w:r w:rsidR="00142BD4">
      <w:rPr>
        <w:rStyle w:val="PageNumber"/>
      </w:rPr>
      <w:instrText xml:space="preserve">PAGE  </w:instrText>
    </w:r>
    <w:r w:rsidR="00142BD4">
      <w:rPr>
        <w:rStyle w:val="PageNumber"/>
      </w:rPr>
      <w:fldChar w:fldCharType="end"/>
    </w:r>
  </w:p>
  <w:p w14:paraId="3E857C03" w14:textId="77777777" w:rsidR="00142BD4" w:rsidRDefault="00142BD4" w:rsidP="004F6E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19AF" w14:textId="77777777" w:rsidR="004F6ED5" w:rsidRPr="004F6ED5" w:rsidRDefault="004F6ED5" w:rsidP="004F6ED5">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13E88BF9" w14:textId="5AA63107" w:rsidR="004F6ED5" w:rsidRDefault="004F6ED5" w:rsidP="004F6ED5">
    <w:pPr>
      <w:pStyle w:val="Footer"/>
      <w:framePr w:wrap="around" w:vAnchor="text" w:hAnchor="margin" w:xAlign="center" w:y="1"/>
      <w:jc w:val="center"/>
      <w:rPr>
        <w:rStyle w:val="PageNumber"/>
      </w:rPr>
    </w:pPr>
    <w:r w:rsidRPr="004F6ED5">
      <w:rPr>
        <w:rStyle w:val="PageNumber"/>
        <w:rFonts w:ascii="Calibri" w:hAnsi="Calibri" w:cs="Calibri"/>
        <w:b/>
        <w:color w:val="F00000"/>
        <w:sz w:val="24"/>
      </w:rPr>
      <w:t>OFFICIAL</w:t>
    </w:r>
    <w:r>
      <w:rPr>
        <w:rStyle w:val="PageNumber"/>
      </w:rPr>
      <w:t xml:space="preserve"> </w:t>
    </w:r>
    <w:r>
      <w:rPr>
        <w:rStyle w:val="PageNumber"/>
      </w:rPr>
      <w:fldChar w:fldCharType="end"/>
    </w:r>
  </w:p>
  <w:p w14:paraId="0E76C1D8" w14:textId="39B247AF" w:rsidR="00142BD4" w:rsidRDefault="00142BD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6ED5">
      <w:rPr>
        <w:rStyle w:val="PageNumber"/>
        <w:noProof/>
      </w:rPr>
      <w:t>2</w:t>
    </w:r>
    <w:r>
      <w:rPr>
        <w:rStyle w:val="PageNumber"/>
      </w:rPr>
      <w:fldChar w:fldCharType="end"/>
    </w:r>
  </w:p>
  <w:p w14:paraId="7CF73D54" w14:textId="77777777" w:rsidR="00142BD4" w:rsidRDefault="00142BD4" w:rsidP="004F6E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41AD" w14:textId="77777777" w:rsidR="004F6ED5" w:rsidRPr="004F6ED5" w:rsidRDefault="004F6ED5" w:rsidP="004F6ED5">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499ACDC" w14:textId="50D15E37" w:rsidR="00142BD4" w:rsidRPr="004F6ED5" w:rsidRDefault="004F6ED5" w:rsidP="004F6ED5">
    <w:pPr>
      <w:pStyle w:val="Footer"/>
      <w:jc w:val="center"/>
    </w:pPr>
    <w:r w:rsidRPr="004F6ED5">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AE858" w14:textId="77777777" w:rsidR="00142BD4" w:rsidRDefault="00142BD4">
      <w:r>
        <w:separator/>
      </w:r>
    </w:p>
  </w:footnote>
  <w:footnote w:type="continuationSeparator" w:id="0">
    <w:p w14:paraId="33D8B0BB" w14:textId="77777777" w:rsidR="00142BD4" w:rsidRDefault="00142BD4">
      <w:r>
        <w:continuationSeparator/>
      </w:r>
    </w:p>
  </w:footnote>
  <w:footnote w:type="continuationNotice" w:id="1">
    <w:p w14:paraId="09B3EAA8" w14:textId="77777777" w:rsidR="00142BD4" w:rsidRDefault="00142BD4"/>
  </w:footnote>
  <w:footnote w:id="2">
    <w:p w14:paraId="092297AD" w14:textId="39307447" w:rsidR="00142BD4" w:rsidRPr="004517C5" w:rsidRDefault="00142BD4" w:rsidP="000F4664">
      <w:r>
        <w:rPr>
          <w:rStyle w:val="FootnoteReference"/>
        </w:rPr>
        <w:footnoteRef/>
      </w:r>
      <w:r>
        <w:t xml:space="preserve"> </w:t>
      </w:r>
      <w:r w:rsidRPr="00E352AA">
        <w:rPr>
          <w:sz w:val="20"/>
          <w:lang w:eastAsia="en-AU" w:bidi="ar-SA"/>
        </w:rPr>
        <w:t xml:space="preserve">FSANZ recognises that </w:t>
      </w:r>
      <w:r w:rsidRPr="00E352AA">
        <w:rPr>
          <w:sz w:val="20"/>
        </w:rPr>
        <w:t>in Australia and New Zealand, the English spelling for ‘haem’ is more commonly used than ‘heme’, however the name ‘soy leghemoglobin’ is a product name used by Impossible Foods. FSANZ will hereafter use ‘soy leghemoglobin’</w:t>
      </w:r>
      <w:r>
        <w:rPr>
          <w:sz w:val="20"/>
        </w:rPr>
        <w:t>, ‘leghaemoglobin’</w:t>
      </w:r>
      <w:r w:rsidRPr="00E352AA">
        <w:rPr>
          <w:sz w:val="20"/>
        </w:rPr>
        <w:t xml:space="preserve"> and ‘haem’. </w:t>
      </w:r>
    </w:p>
    <w:p w14:paraId="7F6480B6" w14:textId="2D9DC869" w:rsidR="00142BD4" w:rsidRPr="000F4664" w:rsidRDefault="00142BD4">
      <w:pPr>
        <w:pStyle w:val="FootnoteText"/>
        <w:rPr>
          <w:lang w:val="en-AU"/>
        </w:rPr>
      </w:pPr>
    </w:p>
  </w:footnote>
  <w:footnote w:id="3">
    <w:p w14:paraId="20BD7A4D" w14:textId="6DF32964" w:rsidR="00142BD4" w:rsidRPr="00090D27" w:rsidRDefault="00142BD4">
      <w:pPr>
        <w:pStyle w:val="FootnoteText"/>
        <w:rPr>
          <w:lang w:val="en-AU"/>
        </w:rPr>
      </w:pPr>
      <w:r>
        <w:rPr>
          <w:rStyle w:val="FootnoteReference"/>
        </w:rPr>
        <w:footnoteRef/>
      </w:r>
      <w:r>
        <w:t xml:space="preserve"> </w:t>
      </w:r>
      <w:r>
        <w:rPr>
          <w:lang w:val="en-AU"/>
        </w:rPr>
        <w:t>FSANZ has since reviewed internal processes on how to assess applications pertaining to food produced using gene technologies. If an application related to a GM food, it will no longer be assessed as a ‘novel food’ under Schedule 25; instead it will be assessed as a food produced using gene technology. This does not preclude its approval also as a nutritive substance where relevant.</w:t>
      </w:r>
    </w:p>
  </w:footnote>
  <w:footnote w:id="4">
    <w:p w14:paraId="5FC18784" w14:textId="77777777" w:rsidR="00142BD4" w:rsidRPr="00CA420F" w:rsidRDefault="00142BD4" w:rsidP="00353150">
      <w:pPr>
        <w:pStyle w:val="FootnoteText"/>
        <w:rPr>
          <w:lang w:val="en-AU"/>
        </w:rPr>
      </w:pPr>
      <w:r>
        <w:rPr>
          <w:rStyle w:val="FootnoteReference"/>
        </w:rPr>
        <w:footnoteRef/>
      </w:r>
      <w:r>
        <w:t xml:space="preserve"> </w:t>
      </w:r>
      <w:r>
        <w:rPr>
          <w:lang w:val="en-AU"/>
        </w:rPr>
        <w:t xml:space="preserve">FSANZ searched for “impossible foods” on </w:t>
      </w:r>
      <w:hyperlink r:id="rId1" w:history="1">
        <w:r w:rsidRPr="00F03945">
          <w:rPr>
            <w:rStyle w:val="Hyperlink"/>
            <w:lang w:val="en-AU"/>
          </w:rPr>
          <w:t>New Zealand Intellectual Property Office</w:t>
        </w:r>
      </w:hyperlink>
      <w:r>
        <w:rPr>
          <w:lang w:val="en-AU"/>
        </w:rPr>
        <w:t xml:space="preserve"> and </w:t>
      </w:r>
      <w:hyperlink r:id="rId2" w:history="1">
        <w:r w:rsidRPr="00F03945">
          <w:rPr>
            <w:rStyle w:val="Hyperlink"/>
            <w:lang w:val="en-AU"/>
          </w:rPr>
          <w:t>IP Australia</w:t>
        </w:r>
      </w:hyperlink>
      <w:r>
        <w:rPr>
          <w:lang w:val="en-AU"/>
        </w:rPr>
        <w:t xml:space="preserve"> websites.</w:t>
      </w:r>
    </w:p>
  </w:footnote>
  <w:footnote w:id="5">
    <w:p w14:paraId="3D099B79" w14:textId="43E03023" w:rsidR="00142BD4" w:rsidRPr="00090D27" w:rsidRDefault="00142BD4">
      <w:pPr>
        <w:pStyle w:val="FootnoteText"/>
        <w:rPr>
          <w:lang w:val="en-AU"/>
        </w:rPr>
      </w:pPr>
      <w:r>
        <w:rPr>
          <w:rStyle w:val="FootnoteReference"/>
        </w:rPr>
        <w:footnoteRef/>
      </w:r>
      <w:r>
        <w:t xml:space="preserve"> </w:t>
      </w:r>
      <w:r w:rsidRPr="001753D9">
        <w:t>https://www.regulations.gov/document?D=FDA-2018-C-4464-0002</w:t>
      </w:r>
    </w:p>
  </w:footnote>
  <w:footnote w:id="6">
    <w:p w14:paraId="05CC3E9E" w14:textId="25395E1E" w:rsidR="00142BD4" w:rsidRPr="00280A87" w:rsidRDefault="00142BD4">
      <w:pPr>
        <w:pStyle w:val="FootnoteText"/>
        <w:rPr>
          <w:lang w:val="en-AU"/>
        </w:rPr>
      </w:pPr>
      <w:r>
        <w:rPr>
          <w:rStyle w:val="FootnoteReference"/>
        </w:rPr>
        <w:footnoteRef/>
      </w:r>
      <w:r>
        <w:t xml:space="preserve"> For further information see </w:t>
      </w:r>
      <w:hyperlink r:id="rId3" w:history="1">
        <w:r w:rsidRPr="00280A87">
          <w:rPr>
            <w:rStyle w:val="Hyperlink"/>
          </w:rPr>
          <w:t>EFSA registration of questions webpage</w:t>
        </w:r>
      </w:hyperlink>
      <w:r>
        <w:t xml:space="preserve">; Application number </w:t>
      </w:r>
      <w:r w:rsidRPr="008B10A5">
        <w:t>GMO-2019-0008</w:t>
      </w:r>
      <w:r>
        <w:t xml:space="preserve">; </w:t>
      </w:r>
      <w:r w:rsidRPr="00280A87">
        <w:t>mandate number is M-2019-0132.</w:t>
      </w:r>
    </w:p>
  </w:footnote>
  <w:footnote w:id="7">
    <w:p w14:paraId="6A0CFCF6" w14:textId="77777777" w:rsidR="00142BD4" w:rsidRPr="00415D53" w:rsidRDefault="00142BD4" w:rsidP="00C02507">
      <w:pPr>
        <w:pStyle w:val="FootnoteText"/>
        <w:rPr>
          <w:lang w:val="en-AU"/>
        </w:rPr>
      </w:pPr>
      <w:r>
        <w:rPr>
          <w:rStyle w:val="FootnoteReference"/>
        </w:rPr>
        <w:footnoteRef/>
      </w:r>
      <w:r>
        <w:t xml:space="preserve"> </w:t>
      </w:r>
      <w:hyperlink r:id="rId4" w:history="1">
        <w:r w:rsidRPr="003038BD">
          <w:rPr>
            <w:rStyle w:val="Hyperlink"/>
          </w:rPr>
          <w:t>https://foodregulation.gov.au/internet/fr/publishing.nsf/Content/publication-Policy-Guideline-for-the-Fortification-of-Foods-with-Vitamins-and-Minerals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7548B" w14:textId="77777777" w:rsidR="004F6ED5" w:rsidRPr="004F6ED5" w:rsidRDefault="004F6ED5" w:rsidP="004F6ED5">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4F6ED5">
      <w:rPr>
        <w:rFonts w:ascii="Calibri" w:hAnsi="Calibri" w:cs="Calibri"/>
        <w:b/>
        <w:color w:val="F00000"/>
        <w:sz w:val="24"/>
      </w:rPr>
      <w:t>OFFICIAL</w:t>
    </w:r>
  </w:p>
  <w:p w14:paraId="120871B5" w14:textId="26C31F3B" w:rsidR="00142BD4" w:rsidRPr="004F6ED5" w:rsidRDefault="004F6ED5" w:rsidP="004F6ED5">
    <w:pPr>
      <w:pStyle w:val="Header"/>
      <w:jc w:val="center"/>
    </w:pPr>
    <w:r w:rsidRPr="004F6ED5">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E2993" w14:textId="77777777" w:rsidR="004F6ED5" w:rsidRPr="004F6ED5" w:rsidRDefault="004F6ED5" w:rsidP="004F6ED5">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4F6ED5">
      <w:rPr>
        <w:rFonts w:ascii="Calibri" w:hAnsi="Calibri" w:cs="Calibri"/>
        <w:b/>
        <w:color w:val="F00000"/>
        <w:sz w:val="24"/>
      </w:rPr>
      <w:t>OFFICIAL</w:t>
    </w:r>
  </w:p>
  <w:p w14:paraId="085A111A" w14:textId="7DADECD3" w:rsidR="00142BD4" w:rsidRPr="004F6ED5" w:rsidRDefault="004F6ED5" w:rsidP="004F6ED5">
    <w:pPr>
      <w:pStyle w:val="Header"/>
      <w:jc w:val="center"/>
    </w:pPr>
    <w:r w:rsidRPr="004F6ED5">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41F0D" w14:textId="77777777" w:rsidR="004F6ED5" w:rsidRPr="004F6ED5" w:rsidRDefault="004F6ED5" w:rsidP="004F6ED5">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4F6ED5">
      <w:rPr>
        <w:rFonts w:ascii="Calibri" w:hAnsi="Calibri" w:cs="Calibri"/>
        <w:b/>
        <w:bCs/>
        <w:color w:val="F00000"/>
        <w:sz w:val="24"/>
      </w:rPr>
      <w:t>OFFICIAL</w:t>
    </w:r>
  </w:p>
  <w:p w14:paraId="7938605B" w14:textId="0147FCAF" w:rsidR="004F6ED5" w:rsidRDefault="004F6ED5" w:rsidP="004F6ED5">
    <w:pPr>
      <w:pStyle w:val="Header"/>
      <w:jc w:val="center"/>
      <w:rPr>
        <w:b/>
        <w:bCs/>
      </w:rPr>
    </w:pPr>
    <w:r w:rsidRPr="004F6ED5">
      <w:rPr>
        <w:rFonts w:ascii="Calibri" w:hAnsi="Calibri" w:cs="Calibri"/>
        <w:b/>
        <w:bCs/>
        <w:color w:val="F00000"/>
        <w:sz w:val="24"/>
      </w:rPr>
      <w:t xml:space="preserve"> </w:t>
    </w:r>
    <w:r>
      <w:rPr>
        <w:b/>
        <w:bCs/>
      </w:rPr>
      <w:fldChar w:fldCharType="end"/>
    </w:r>
  </w:p>
  <w:p w14:paraId="66EE7E09" w14:textId="7E64B9C9" w:rsidR="00142BD4" w:rsidRDefault="00142BD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F1180F"/>
    <w:multiLevelType w:val="hybridMultilevel"/>
    <w:tmpl w:val="3714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A4D81"/>
    <w:multiLevelType w:val="multilevel"/>
    <w:tmpl w:val="3052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4839D4"/>
    <w:multiLevelType w:val="hybridMultilevel"/>
    <w:tmpl w:val="8AB489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F826A60"/>
    <w:multiLevelType w:val="hybridMultilevel"/>
    <w:tmpl w:val="4C4A1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8D2F38"/>
    <w:multiLevelType w:val="hybridMultilevel"/>
    <w:tmpl w:val="6CC0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3562C"/>
    <w:multiLevelType w:val="hybridMultilevel"/>
    <w:tmpl w:val="4074F550"/>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26FA0076"/>
    <w:multiLevelType w:val="hybridMultilevel"/>
    <w:tmpl w:val="2F902410"/>
    <w:lvl w:ilvl="0" w:tplc="2B48B728">
      <w:start w:val="1"/>
      <w:numFmt w:val="bullet"/>
      <w:pStyle w:val="AARBullet"/>
      <w:lvlText w:val=""/>
      <w:lvlJc w:val="left"/>
      <w:pPr>
        <w:ind w:left="360" w:hanging="360"/>
      </w:pPr>
      <w:rPr>
        <w:rFonts w:ascii="Symbol" w:hAnsi="Symbol" w:hint="default"/>
        <w:color w:val="auto"/>
        <w:sz w:val="24"/>
      </w:rPr>
    </w:lvl>
    <w:lvl w:ilvl="1" w:tplc="92DA414E">
      <w:start w:val="1"/>
      <w:numFmt w:val="bullet"/>
      <w:lvlText w:val=""/>
      <w:lvlJc w:val="left"/>
      <w:pPr>
        <w:tabs>
          <w:tab w:val="num" w:pos="1647"/>
        </w:tabs>
        <w:ind w:left="624" w:hanging="227"/>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B668A1"/>
    <w:multiLevelType w:val="hybridMultilevel"/>
    <w:tmpl w:val="4D4A8D5C"/>
    <w:lvl w:ilvl="0" w:tplc="82C071E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722D4C"/>
    <w:multiLevelType w:val="hybridMultilevel"/>
    <w:tmpl w:val="DE5851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7070BC"/>
    <w:multiLevelType w:val="hybridMultilevel"/>
    <w:tmpl w:val="77348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47F0B21"/>
    <w:multiLevelType w:val="hybridMultilevel"/>
    <w:tmpl w:val="472E4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14726"/>
    <w:multiLevelType w:val="hybridMultilevel"/>
    <w:tmpl w:val="644403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210903"/>
    <w:multiLevelType w:val="hybridMultilevel"/>
    <w:tmpl w:val="EE6A1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53901"/>
    <w:multiLevelType w:val="hybridMultilevel"/>
    <w:tmpl w:val="719E4790"/>
    <w:lvl w:ilvl="0" w:tplc="EBC81D4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60A4D"/>
    <w:multiLevelType w:val="hybridMultilevel"/>
    <w:tmpl w:val="B5506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6C9E34D1"/>
    <w:multiLevelType w:val="hybridMultilevel"/>
    <w:tmpl w:val="D94E0F5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16"/>
  </w:num>
  <w:num w:numId="3">
    <w:abstractNumId w:val="0"/>
  </w:num>
  <w:num w:numId="4">
    <w:abstractNumId w:val="21"/>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3"/>
  </w:num>
  <w:num w:numId="8">
    <w:abstractNumId w:val="15"/>
  </w:num>
  <w:num w:numId="9">
    <w:abstractNumId w:val="19"/>
  </w:num>
  <w:num w:numId="10">
    <w:abstractNumId w:val="12"/>
  </w:num>
  <w:num w:numId="11">
    <w:abstractNumId w:val="8"/>
  </w:num>
  <w:num w:numId="12">
    <w:abstractNumId w:val="20"/>
  </w:num>
  <w:num w:numId="13">
    <w:abstractNumId w:val="10"/>
  </w:num>
  <w:num w:numId="14">
    <w:abstractNumId w:val="7"/>
  </w:num>
  <w:num w:numId="15">
    <w:abstractNumId w:val="6"/>
  </w:num>
  <w:num w:numId="16">
    <w:abstractNumId w:val="17"/>
  </w:num>
  <w:num w:numId="17">
    <w:abstractNumId w:val="18"/>
  </w:num>
  <w:num w:numId="18">
    <w:abstractNumId w:val="4"/>
  </w:num>
  <w:num w:numId="19">
    <w:abstractNumId w:val="5"/>
  </w:num>
  <w:num w:numId="20">
    <w:abstractNumId w:val="3"/>
  </w:num>
  <w:num w:numId="21">
    <w:abstractNumId w:val="11"/>
  </w:num>
  <w:num w:numId="22">
    <w:abstractNumId w:val="14"/>
  </w:num>
  <w:num w:numId="23">
    <w:abstractNumId w:val="22"/>
  </w:num>
  <w:num w:numId="2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157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381"/>
    <w:rsid w:val="00001BFD"/>
    <w:rsid w:val="00001CF2"/>
    <w:rsid w:val="0000247B"/>
    <w:rsid w:val="00002F75"/>
    <w:rsid w:val="00004274"/>
    <w:rsid w:val="0000469B"/>
    <w:rsid w:val="00006162"/>
    <w:rsid w:val="0001156F"/>
    <w:rsid w:val="00012E16"/>
    <w:rsid w:val="00016CB6"/>
    <w:rsid w:val="000179B9"/>
    <w:rsid w:val="00020166"/>
    <w:rsid w:val="00020864"/>
    <w:rsid w:val="00020CD2"/>
    <w:rsid w:val="0002274F"/>
    <w:rsid w:val="00022D4E"/>
    <w:rsid w:val="00022DBC"/>
    <w:rsid w:val="000334F5"/>
    <w:rsid w:val="00034F87"/>
    <w:rsid w:val="00035FF3"/>
    <w:rsid w:val="0003788C"/>
    <w:rsid w:val="00037A4C"/>
    <w:rsid w:val="000417D2"/>
    <w:rsid w:val="000427B2"/>
    <w:rsid w:val="00044174"/>
    <w:rsid w:val="0004788E"/>
    <w:rsid w:val="00051021"/>
    <w:rsid w:val="00051B53"/>
    <w:rsid w:val="00051ED9"/>
    <w:rsid w:val="00054FC5"/>
    <w:rsid w:val="000564DE"/>
    <w:rsid w:val="00057181"/>
    <w:rsid w:val="00064B2D"/>
    <w:rsid w:val="00065F1F"/>
    <w:rsid w:val="00070415"/>
    <w:rsid w:val="00071983"/>
    <w:rsid w:val="000735FD"/>
    <w:rsid w:val="0007466A"/>
    <w:rsid w:val="00076D33"/>
    <w:rsid w:val="000778D6"/>
    <w:rsid w:val="000820D6"/>
    <w:rsid w:val="00083AB4"/>
    <w:rsid w:val="00085978"/>
    <w:rsid w:val="00085D5F"/>
    <w:rsid w:val="000877DD"/>
    <w:rsid w:val="00087AC4"/>
    <w:rsid w:val="000907FE"/>
    <w:rsid w:val="00090D27"/>
    <w:rsid w:val="0009116C"/>
    <w:rsid w:val="00091CC2"/>
    <w:rsid w:val="00093E10"/>
    <w:rsid w:val="00094B9D"/>
    <w:rsid w:val="000959B0"/>
    <w:rsid w:val="000A071D"/>
    <w:rsid w:val="000A26D4"/>
    <w:rsid w:val="000A27E9"/>
    <w:rsid w:val="000A3D8B"/>
    <w:rsid w:val="000A449D"/>
    <w:rsid w:val="000A4B99"/>
    <w:rsid w:val="000A5DF8"/>
    <w:rsid w:val="000A67E0"/>
    <w:rsid w:val="000A6A54"/>
    <w:rsid w:val="000B0174"/>
    <w:rsid w:val="000B1598"/>
    <w:rsid w:val="000B304B"/>
    <w:rsid w:val="000B597E"/>
    <w:rsid w:val="000B6AF2"/>
    <w:rsid w:val="000C1ED7"/>
    <w:rsid w:val="000C2637"/>
    <w:rsid w:val="000C3DDE"/>
    <w:rsid w:val="000C412C"/>
    <w:rsid w:val="000C5BF8"/>
    <w:rsid w:val="000D2707"/>
    <w:rsid w:val="000D295F"/>
    <w:rsid w:val="000D3971"/>
    <w:rsid w:val="000D52FB"/>
    <w:rsid w:val="000D6651"/>
    <w:rsid w:val="000D6FD4"/>
    <w:rsid w:val="000D7791"/>
    <w:rsid w:val="000E0AE4"/>
    <w:rsid w:val="000E14B2"/>
    <w:rsid w:val="000E181A"/>
    <w:rsid w:val="000E3DBC"/>
    <w:rsid w:val="000E50E9"/>
    <w:rsid w:val="000F3F44"/>
    <w:rsid w:val="000F4664"/>
    <w:rsid w:val="000F678F"/>
    <w:rsid w:val="00101735"/>
    <w:rsid w:val="00105EC4"/>
    <w:rsid w:val="00113CE3"/>
    <w:rsid w:val="001160C1"/>
    <w:rsid w:val="00116D25"/>
    <w:rsid w:val="001171B2"/>
    <w:rsid w:val="00117522"/>
    <w:rsid w:val="001207B9"/>
    <w:rsid w:val="0012113A"/>
    <w:rsid w:val="00122286"/>
    <w:rsid w:val="00123655"/>
    <w:rsid w:val="001242F3"/>
    <w:rsid w:val="0012485B"/>
    <w:rsid w:val="00125CAC"/>
    <w:rsid w:val="001263A4"/>
    <w:rsid w:val="001263A5"/>
    <w:rsid w:val="001319CB"/>
    <w:rsid w:val="00131F92"/>
    <w:rsid w:val="00136850"/>
    <w:rsid w:val="001373DD"/>
    <w:rsid w:val="001374E7"/>
    <w:rsid w:val="00141E13"/>
    <w:rsid w:val="00142BD4"/>
    <w:rsid w:val="00143732"/>
    <w:rsid w:val="00146A2B"/>
    <w:rsid w:val="00146B79"/>
    <w:rsid w:val="001472DE"/>
    <w:rsid w:val="00147E51"/>
    <w:rsid w:val="0015023A"/>
    <w:rsid w:val="00151550"/>
    <w:rsid w:val="001542D8"/>
    <w:rsid w:val="00163AC0"/>
    <w:rsid w:val="00163AFF"/>
    <w:rsid w:val="001652D8"/>
    <w:rsid w:val="0016551F"/>
    <w:rsid w:val="001753D9"/>
    <w:rsid w:val="00180C41"/>
    <w:rsid w:val="00181AE5"/>
    <w:rsid w:val="00182210"/>
    <w:rsid w:val="00182C4C"/>
    <w:rsid w:val="00186410"/>
    <w:rsid w:val="00186BD1"/>
    <w:rsid w:val="00190920"/>
    <w:rsid w:val="00195254"/>
    <w:rsid w:val="00195B17"/>
    <w:rsid w:val="00197D8D"/>
    <w:rsid w:val="001A1A75"/>
    <w:rsid w:val="001A1B1F"/>
    <w:rsid w:val="001A2530"/>
    <w:rsid w:val="001A2BA8"/>
    <w:rsid w:val="001A64B9"/>
    <w:rsid w:val="001A6835"/>
    <w:rsid w:val="001A7E9A"/>
    <w:rsid w:val="001B0FC0"/>
    <w:rsid w:val="001B1B99"/>
    <w:rsid w:val="001B23AE"/>
    <w:rsid w:val="001B2ED0"/>
    <w:rsid w:val="001B35CF"/>
    <w:rsid w:val="001B4E55"/>
    <w:rsid w:val="001B5A6C"/>
    <w:rsid w:val="001B6984"/>
    <w:rsid w:val="001C27A3"/>
    <w:rsid w:val="001C282C"/>
    <w:rsid w:val="001C28EA"/>
    <w:rsid w:val="001C3D2F"/>
    <w:rsid w:val="001C3F91"/>
    <w:rsid w:val="001C5295"/>
    <w:rsid w:val="001C64BE"/>
    <w:rsid w:val="001D02CB"/>
    <w:rsid w:val="001D7C34"/>
    <w:rsid w:val="001E0107"/>
    <w:rsid w:val="001E09FA"/>
    <w:rsid w:val="001E0E23"/>
    <w:rsid w:val="001E1B03"/>
    <w:rsid w:val="001E679F"/>
    <w:rsid w:val="001E6A3C"/>
    <w:rsid w:val="001E6E04"/>
    <w:rsid w:val="001E75B2"/>
    <w:rsid w:val="001F0342"/>
    <w:rsid w:val="001F3FCE"/>
    <w:rsid w:val="001F4D68"/>
    <w:rsid w:val="001F5B9C"/>
    <w:rsid w:val="001F6652"/>
    <w:rsid w:val="001F719F"/>
    <w:rsid w:val="001F74B2"/>
    <w:rsid w:val="002000A3"/>
    <w:rsid w:val="002008EE"/>
    <w:rsid w:val="00202EE1"/>
    <w:rsid w:val="00203540"/>
    <w:rsid w:val="00204BC5"/>
    <w:rsid w:val="0021014A"/>
    <w:rsid w:val="00210656"/>
    <w:rsid w:val="002140D3"/>
    <w:rsid w:val="00214440"/>
    <w:rsid w:val="00217180"/>
    <w:rsid w:val="00221D07"/>
    <w:rsid w:val="0022271E"/>
    <w:rsid w:val="00222C1A"/>
    <w:rsid w:val="00223307"/>
    <w:rsid w:val="002233ED"/>
    <w:rsid w:val="00223DE0"/>
    <w:rsid w:val="00227E4A"/>
    <w:rsid w:val="0023095B"/>
    <w:rsid w:val="00234C4E"/>
    <w:rsid w:val="002350DD"/>
    <w:rsid w:val="00236A35"/>
    <w:rsid w:val="00237194"/>
    <w:rsid w:val="002432EE"/>
    <w:rsid w:val="00243FA3"/>
    <w:rsid w:val="0024582E"/>
    <w:rsid w:val="002547EF"/>
    <w:rsid w:val="00255BFA"/>
    <w:rsid w:val="00256D65"/>
    <w:rsid w:val="00262052"/>
    <w:rsid w:val="002634E2"/>
    <w:rsid w:val="00264368"/>
    <w:rsid w:val="00265170"/>
    <w:rsid w:val="00271F00"/>
    <w:rsid w:val="00271F9C"/>
    <w:rsid w:val="002722E0"/>
    <w:rsid w:val="00273289"/>
    <w:rsid w:val="00273737"/>
    <w:rsid w:val="00273A80"/>
    <w:rsid w:val="00274679"/>
    <w:rsid w:val="00275118"/>
    <w:rsid w:val="0027513D"/>
    <w:rsid w:val="00276026"/>
    <w:rsid w:val="00276405"/>
    <w:rsid w:val="00280412"/>
    <w:rsid w:val="00280A87"/>
    <w:rsid w:val="00284FA7"/>
    <w:rsid w:val="002851C8"/>
    <w:rsid w:val="0029204E"/>
    <w:rsid w:val="00294BAD"/>
    <w:rsid w:val="00295385"/>
    <w:rsid w:val="0029631C"/>
    <w:rsid w:val="002A0194"/>
    <w:rsid w:val="002A2A78"/>
    <w:rsid w:val="002A2C39"/>
    <w:rsid w:val="002A3134"/>
    <w:rsid w:val="002A50F3"/>
    <w:rsid w:val="002A5F8B"/>
    <w:rsid w:val="002A7105"/>
    <w:rsid w:val="002A7F6C"/>
    <w:rsid w:val="002B0D8E"/>
    <w:rsid w:val="002B2615"/>
    <w:rsid w:val="002B42BC"/>
    <w:rsid w:val="002B6C10"/>
    <w:rsid w:val="002B7735"/>
    <w:rsid w:val="002C031D"/>
    <w:rsid w:val="002C0664"/>
    <w:rsid w:val="002C28B0"/>
    <w:rsid w:val="002C4A91"/>
    <w:rsid w:val="002D1A42"/>
    <w:rsid w:val="002D1E3F"/>
    <w:rsid w:val="002D5AE7"/>
    <w:rsid w:val="002D6809"/>
    <w:rsid w:val="002E086A"/>
    <w:rsid w:val="002E1328"/>
    <w:rsid w:val="002E5784"/>
    <w:rsid w:val="002F11F4"/>
    <w:rsid w:val="002F1995"/>
    <w:rsid w:val="002F2749"/>
    <w:rsid w:val="002F4CAD"/>
    <w:rsid w:val="002F6488"/>
    <w:rsid w:val="002F7B92"/>
    <w:rsid w:val="00300106"/>
    <w:rsid w:val="0030279C"/>
    <w:rsid w:val="0030392F"/>
    <w:rsid w:val="00304AA3"/>
    <w:rsid w:val="00305F79"/>
    <w:rsid w:val="00310E84"/>
    <w:rsid w:val="003110F9"/>
    <w:rsid w:val="00312B94"/>
    <w:rsid w:val="0031421F"/>
    <w:rsid w:val="00315A71"/>
    <w:rsid w:val="00320236"/>
    <w:rsid w:val="003206CA"/>
    <w:rsid w:val="003212ED"/>
    <w:rsid w:val="003213F9"/>
    <w:rsid w:val="00323DBF"/>
    <w:rsid w:val="00326121"/>
    <w:rsid w:val="00326478"/>
    <w:rsid w:val="003309A8"/>
    <w:rsid w:val="00332B12"/>
    <w:rsid w:val="00332C7A"/>
    <w:rsid w:val="00333B58"/>
    <w:rsid w:val="0033470E"/>
    <w:rsid w:val="00334C63"/>
    <w:rsid w:val="00336711"/>
    <w:rsid w:val="00341A63"/>
    <w:rsid w:val="0034333D"/>
    <w:rsid w:val="00344906"/>
    <w:rsid w:val="00345B6D"/>
    <w:rsid w:val="0034712C"/>
    <w:rsid w:val="00347935"/>
    <w:rsid w:val="00350DBD"/>
    <w:rsid w:val="00351927"/>
    <w:rsid w:val="00351B07"/>
    <w:rsid w:val="00353150"/>
    <w:rsid w:val="003531D4"/>
    <w:rsid w:val="00353CD6"/>
    <w:rsid w:val="00355DD2"/>
    <w:rsid w:val="00362631"/>
    <w:rsid w:val="0036268A"/>
    <w:rsid w:val="003627BD"/>
    <w:rsid w:val="003631C2"/>
    <w:rsid w:val="00364841"/>
    <w:rsid w:val="003661F8"/>
    <w:rsid w:val="00366604"/>
    <w:rsid w:val="00367416"/>
    <w:rsid w:val="00370445"/>
    <w:rsid w:val="00371637"/>
    <w:rsid w:val="00371A74"/>
    <w:rsid w:val="00371B29"/>
    <w:rsid w:val="00372182"/>
    <w:rsid w:val="00374648"/>
    <w:rsid w:val="0037520F"/>
    <w:rsid w:val="00377DC2"/>
    <w:rsid w:val="003806D4"/>
    <w:rsid w:val="00382605"/>
    <w:rsid w:val="00382B6B"/>
    <w:rsid w:val="00391769"/>
    <w:rsid w:val="00393556"/>
    <w:rsid w:val="00393607"/>
    <w:rsid w:val="003953E1"/>
    <w:rsid w:val="003956B3"/>
    <w:rsid w:val="003A191E"/>
    <w:rsid w:val="003A3D4C"/>
    <w:rsid w:val="003A4922"/>
    <w:rsid w:val="003A532B"/>
    <w:rsid w:val="003A55B4"/>
    <w:rsid w:val="003A5DC1"/>
    <w:rsid w:val="003A68BE"/>
    <w:rsid w:val="003A7725"/>
    <w:rsid w:val="003B006B"/>
    <w:rsid w:val="003B3021"/>
    <w:rsid w:val="003B32AB"/>
    <w:rsid w:val="003B3C9D"/>
    <w:rsid w:val="003B4188"/>
    <w:rsid w:val="003B66B9"/>
    <w:rsid w:val="003B7492"/>
    <w:rsid w:val="003B78E0"/>
    <w:rsid w:val="003C4969"/>
    <w:rsid w:val="003C4E36"/>
    <w:rsid w:val="003C6C8B"/>
    <w:rsid w:val="003C7743"/>
    <w:rsid w:val="003C7DDD"/>
    <w:rsid w:val="003D25FC"/>
    <w:rsid w:val="003D2762"/>
    <w:rsid w:val="003D443F"/>
    <w:rsid w:val="003D59B3"/>
    <w:rsid w:val="003D6001"/>
    <w:rsid w:val="003D794F"/>
    <w:rsid w:val="003E41D5"/>
    <w:rsid w:val="003E46BA"/>
    <w:rsid w:val="003E7D22"/>
    <w:rsid w:val="003F66EE"/>
    <w:rsid w:val="003F74C1"/>
    <w:rsid w:val="003F7AB1"/>
    <w:rsid w:val="00401424"/>
    <w:rsid w:val="00401E14"/>
    <w:rsid w:val="004035B9"/>
    <w:rsid w:val="00405B1A"/>
    <w:rsid w:val="004069D2"/>
    <w:rsid w:val="00407241"/>
    <w:rsid w:val="0040761E"/>
    <w:rsid w:val="00407825"/>
    <w:rsid w:val="00407DF4"/>
    <w:rsid w:val="00410024"/>
    <w:rsid w:val="00410402"/>
    <w:rsid w:val="00410C76"/>
    <w:rsid w:val="00410D45"/>
    <w:rsid w:val="00411907"/>
    <w:rsid w:val="00413CA8"/>
    <w:rsid w:val="00415D53"/>
    <w:rsid w:val="00417EE3"/>
    <w:rsid w:val="004207EB"/>
    <w:rsid w:val="00421876"/>
    <w:rsid w:val="004222B2"/>
    <w:rsid w:val="0042260A"/>
    <w:rsid w:val="00422C5E"/>
    <w:rsid w:val="00433D61"/>
    <w:rsid w:val="00434FFF"/>
    <w:rsid w:val="00435FA5"/>
    <w:rsid w:val="004360A3"/>
    <w:rsid w:val="004366EF"/>
    <w:rsid w:val="00436B8D"/>
    <w:rsid w:val="00437276"/>
    <w:rsid w:val="00440C77"/>
    <w:rsid w:val="0044166A"/>
    <w:rsid w:val="00446855"/>
    <w:rsid w:val="0044725C"/>
    <w:rsid w:val="00447E67"/>
    <w:rsid w:val="0045556F"/>
    <w:rsid w:val="00456B54"/>
    <w:rsid w:val="00462DD8"/>
    <w:rsid w:val="00464628"/>
    <w:rsid w:val="00464643"/>
    <w:rsid w:val="004646F8"/>
    <w:rsid w:val="00464D1D"/>
    <w:rsid w:val="004827AD"/>
    <w:rsid w:val="00483DB3"/>
    <w:rsid w:val="00484053"/>
    <w:rsid w:val="00484875"/>
    <w:rsid w:val="00485604"/>
    <w:rsid w:val="00486793"/>
    <w:rsid w:val="00487752"/>
    <w:rsid w:val="004913D0"/>
    <w:rsid w:val="004946A0"/>
    <w:rsid w:val="00496599"/>
    <w:rsid w:val="00496A07"/>
    <w:rsid w:val="0049729B"/>
    <w:rsid w:val="004A2037"/>
    <w:rsid w:val="004A3685"/>
    <w:rsid w:val="004A46EF"/>
    <w:rsid w:val="004A7146"/>
    <w:rsid w:val="004A7167"/>
    <w:rsid w:val="004B3ADC"/>
    <w:rsid w:val="004B4AC0"/>
    <w:rsid w:val="004C01F6"/>
    <w:rsid w:val="004C2CE7"/>
    <w:rsid w:val="004C6DC5"/>
    <w:rsid w:val="004D1468"/>
    <w:rsid w:val="004D1970"/>
    <w:rsid w:val="004D1FA0"/>
    <w:rsid w:val="004D2997"/>
    <w:rsid w:val="004D30A6"/>
    <w:rsid w:val="004D5002"/>
    <w:rsid w:val="004D5B05"/>
    <w:rsid w:val="004D6BBF"/>
    <w:rsid w:val="004E025E"/>
    <w:rsid w:val="004E67E2"/>
    <w:rsid w:val="004E69DE"/>
    <w:rsid w:val="004E7C11"/>
    <w:rsid w:val="004F4F98"/>
    <w:rsid w:val="004F5558"/>
    <w:rsid w:val="004F5E7A"/>
    <w:rsid w:val="004F69F6"/>
    <w:rsid w:val="004F6ED5"/>
    <w:rsid w:val="004F79AC"/>
    <w:rsid w:val="005017CF"/>
    <w:rsid w:val="00502855"/>
    <w:rsid w:val="00511D98"/>
    <w:rsid w:val="00512290"/>
    <w:rsid w:val="0051418B"/>
    <w:rsid w:val="00515E8D"/>
    <w:rsid w:val="00515ED4"/>
    <w:rsid w:val="00516276"/>
    <w:rsid w:val="00520719"/>
    <w:rsid w:val="005207D8"/>
    <w:rsid w:val="00521201"/>
    <w:rsid w:val="00521F70"/>
    <w:rsid w:val="00522116"/>
    <w:rsid w:val="005253F6"/>
    <w:rsid w:val="0052649E"/>
    <w:rsid w:val="00530129"/>
    <w:rsid w:val="00530C5B"/>
    <w:rsid w:val="00530DE3"/>
    <w:rsid w:val="005326E4"/>
    <w:rsid w:val="0053464E"/>
    <w:rsid w:val="00534A77"/>
    <w:rsid w:val="005358B0"/>
    <w:rsid w:val="00540C53"/>
    <w:rsid w:val="00543AB2"/>
    <w:rsid w:val="00543B4F"/>
    <w:rsid w:val="00544C23"/>
    <w:rsid w:val="00544FA7"/>
    <w:rsid w:val="00547D55"/>
    <w:rsid w:val="005504BC"/>
    <w:rsid w:val="00553969"/>
    <w:rsid w:val="005551F8"/>
    <w:rsid w:val="0055530C"/>
    <w:rsid w:val="00555D50"/>
    <w:rsid w:val="0055631F"/>
    <w:rsid w:val="00556A1E"/>
    <w:rsid w:val="00562917"/>
    <w:rsid w:val="005633E1"/>
    <w:rsid w:val="005643BD"/>
    <w:rsid w:val="00567151"/>
    <w:rsid w:val="0056790C"/>
    <w:rsid w:val="00574604"/>
    <w:rsid w:val="00574D06"/>
    <w:rsid w:val="005753E2"/>
    <w:rsid w:val="0058167B"/>
    <w:rsid w:val="005817C6"/>
    <w:rsid w:val="00582C15"/>
    <w:rsid w:val="0058514D"/>
    <w:rsid w:val="00585B82"/>
    <w:rsid w:val="00586228"/>
    <w:rsid w:val="0059227F"/>
    <w:rsid w:val="00592B9B"/>
    <w:rsid w:val="0059498B"/>
    <w:rsid w:val="005965A4"/>
    <w:rsid w:val="005A3A03"/>
    <w:rsid w:val="005A6789"/>
    <w:rsid w:val="005A757F"/>
    <w:rsid w:val="005A7ECF"/>
    <w:rsid w:val="005B01E7"/>
    <w:rsid w:val="005B47CE"/>
    <w:rsid w:val="005B4F6E"/>
    <w:rsid w:val="005B615C"/>
    <w:rsid w:val="005B667D"/>
    <w:rsid w:val="005B6AF4"/>
    <w:rsid w:val="005C04CB"/>
    <w:rsid w:val="005C1FFE"/>
    <w:rsid w:val="005C2560"/>
    <w:rsid w:val="005C5F4D"/>
    <w:rsid w:val="005C6787"/>
    <w:rsid w:val="005C67CC"/>
    <w:rsid w:val="005C71BA"/>
    <w:rsid w:val="005D16AD"/>
    <w:rsid w:val="005D5603"/>
    <w:rsid w:val="005D72E1"/>
    <w:rsid w:val="005E2F53"/>
    <w:rsid w:val="005E3CC5"/>
    <w:rsid w:val="005E3E0E"/>
    <w:rsid w:val="005E416E"/>
    <w:rsid w:val="005E5C98"/>
    <w:rsid w:val="005E6E16"/>
    <w:rsid w:val="005F2760"/>
    <w:rsid w:val="005F400E"/>
    <w:rsid w:val="005F4923"/>
    <w:rsid w:val="005F7342"/>
    <w:rsid w:val="00603A08"/>
    <w:rsid w:val="00604660"/>
    <w:rsid w:val="006048D4"/>
    <w:rsid w:val="006056A6"/>
    <w:rsid w:val="006066BC"/>
    <w:rsid w:val="00606C88"/>
    <w:rsid w:val="0061054A"/>
    <w:rsid w:val="00610A3C"/>
    <w:rsid w:val="00611EA2"/>
    <w:rsid w:val="00612BC8"/>
    <w:rsid w:val="00612F5D"/>
    <w:rsid w:val="00613D14"/>
    <w:rsid w:val="006148DB"/>
    <w:rsid w:val="006158DA"/>
    <w:rsid w:val="00615FCB"/>
    <w:rsid w:val="006211CD"/>
    <w:rsid w:val="0062151A"/>
    <w:rsid w:val="0062329B"/>
    <w:rsid w:val="00625B0C"/>
    <w:rsid w:val="006264EB"/>
    <w:rsid w:val="00627F48"/>
    <w:rsid w:val="00630B15"/>
    <w:rsid w:val="00633ACA"/>
    <w:rsid w:val="00634288"/>
    <w:rsid w:val="006342E0"/>
    <w:rsid w:val="0063560F"/>
    <w:rsid w:val="0064003C"/>
    <w:rsid w:val="00640501"/>
    <w:rsid w:val="00642A47"/>
    <w:rsid w:val="00643420"/>
    <w:rsid w:val="006461DF"/>
    <w:rsid w:val="00646224"/>
    <w:rsid w:val="00646FDD"/>
    <w:rsid w:val="00647DB6"/>
    <w:rsid w:val="00651321"/>
    <w:rsid w:val="00652403"/>
    <w:rsid w:val="00661089"/>
    <w:rsid w:val="00663FCF"/>
    <w:rsid w:val="0066471E"/>
    <w:rsid w:val="0066512C"/>
    <w:rsid w:val="006652A2"/>
    <w:rsid w:val="006657E4"/>
    <w:rsid w:val="00667036"/>
    <w:rsid w:val="006673E3"/>
    <w:rsid w:val="0067004F"/>
    <w:rsid w:val="00671265"/>
    <w:rsid w:val="006716FD"/>
    <w:rsid w:val="006728C5"/>
    <w:rsid w:val="00674056"/>
    <w:rsid w:val="00674DA9"/>
    <w:rsid w:val="006753B6"/>
    <w:rsid w:val="00677D04"/>
    <w:rsid w:val="00681194"/>
    <w:rsid w:val="00681754"/>
    <w:rsid w:val="00681D53"/>
    <w:rsid w:val="00681FAD"/>
    <w:rsid w:val="0068372A"/>
    <w:rsid w:val="00683CFD"/>
    <w:rsid w:val="00683E69"/>
    <w:rsid w:val="006842B6"/>
    <w:rsid w:val="00684E10"/>
    <w:rsid w:val="00685269"/>
    <w:rsid w:val="00685921"/>
    <w:rsid w:val="006861A6"/>
    <w:rsid w:val="00687313"/>
    <w:rsid w:val="00692837"/>
    <w:rsid w:val="006937FF"/>
    <w:rsid w:val="00695033"/>
    <w:rsid w:val="006965BF"/>
    <w:rsid w:val="006970B2"/>
    <w:rsid w:val="006A09A0"/>
    <w:rsid w:val="006A1282"/>
    <w:rsid w:val="006A1D69"/>
    <w:rsid w:val="006A48A7"/>
    <w:rsid w:val="006B0162"/>
    <w:rsid w:val="006B07AF"/>
    <w:rsid w:val="006B1282"/>
    <w:rsid w:val="006B2149"/>
    <w:rsid w:val="006B3BC9"/>
    <w:rsid w:val="006B4BA1"/>
    <w:rsid w:val="006B4C6C"/>
    <w:rsid w:val="006B73AB"/>
    <w:rsid w:val="006C28E2"/>
    <w:rsid w:val="006C2AEA"/>
    <w:rsid w:val="006C5CF5"/>
    <w:rsid w:val="006C71E6"/>
    <w:rsid w:val="006D308E"/>
    <w:rsid w:val="006D3A16"/>
    <w:rsid w:val="006D45A6"/>
    <w:rsid w:val="006D50A8"/>
    <w:rsid w:val="006E059E"/>
    <w:rsid w:val="006E527D"/>
    <w:rsid w:val="006E5305"/>
    <w:rsid w:val="006E56C1"/>
    <w:rsid w:val="006E7E92"/>
    <w:rsid w:val="006F17A0"/>
    <w:rsid w:val="006F4A82"/>
    <w:rsid w:val="006F4BE6"/>
    <w:rsid w:val="006F4DE3"/>
    <w:rsid w:val="006F626B"/>
    <w:rsid w:val="006F6750"/>
    <w:rsid w:val="006F71D3"/>
    <w:rsid w:val="00700239"/>
    <w:rsid w:val="00702836"/>
    <w:rsid w:val="00703045"/>
    <w:rsid w:val="007034B1"/>
    <w:rsid w:val="0070373B"/>
    <w:rsid w:val="00703E36"/>
    <w:rsid w:val="00705BDD"/>
    <w:rsid w:val="00706CD2"/>
    <w:rsid w:val="00707E72"/>
    <w:rsid w:val="007113EB"/>
    <w:rsid w:val="00720157"/>
    <w:rsid w:val="0072150F"/>
    <w:rsid w:val="007215F1"/>
    <w:rsid w:val="007219F4"/>
    <w:rsid w:val="007229B2"/>
    <w:rsid w:val="0072472E"/>
    <w:rsid w:val="00724FA4"/>
    <w:rsid w:val="0072677E"/>
    <w:rsid w:val="00726C2F"/>
    <w:rsid w:val="0072724C"/>
    <w:rsid w:val="007305D1"/>
    <w:rsid w:val="00730800"/>
    <w:rsid w:val="00731EDD"/>
    <w:rsid w:val="00732467"/>
    <w:rsid w:val="007368AB"/>
    <w:rsid w:val="00736D65"/>
    <w:rsid w:val="00737902"/>
    <w:rsid w:val="00741EFE"/>
    <w:rsid w:val="00743B31"/>
    <w:rsid w:val="007449E9"/>
    <w:rsid w:val="0074513A"/>
    <w:rsid w:val="007471F3"/>
    <w:rsid w:val="007527FC"/>
    <w:rsid w:val="00753C8E"/>
    <w:rsid w:val="007555E3"/>
    <w:rsid w:val="007602AA"/>
    <w:rsid w:val="00760721"/>
    <w:rsid w:val="0076115A"/>
    <w:rsid w:val="00762210"/>
    <w:rsid w:val="00762882"/>
    <w:rsid w:val="00762FE8"/>
    <w:rsid w:val="00763A4A"/>
    <w:rsid w:val="00764A1C"/>
    <w:rsid w:val="00764B36"/>
    <w:rsid w:val="00764D33"/>
    <w:rsid w:val="00764E77"/>
    <w:rsid w:val="007652EF"/>
    <w:rsid w:val="007702E6"/>
    <w:rsid w:val="00772BDC"/>
    <w:rsid w:val="00772C0C"/>
    <w:rsid w:val="00773033"/>
    <w:rsid w:val="007777A9"/>
    <w:rsid w:val="007805E4"/>
    <w:rsid w:val="00780792"/>
    <w:rsid w:val="00781D6B"/>
    <w:rsid w:val="007821B4"/>
    <w:rsid w:val="00787681"/>
    <w:rsid w:val="00794067"/>
    <w:rsid w:val="0079425E"/>
    <w:rsid w:val="00794EFC"/>
    <w:rsid w:val="00796878"/>
    <w:rsid w:val="0079702E"/>
    <w:rsid w:val="007A0CB5"/>
    <w:rsid w:val="007A1B5D"/>
    <w:rsid w:val="007A44B4"/>
    <w:rsid w:val="007A4F84"/>
    <w:rsid w:val="007A7D3D"/>
    <w:rsid w:val="007A7DDF"/>
    <w:rsid w:val="007B1E51"/>
    <w:rsid w:val="007B225D"/>
    <w:rsid w:val="007B2989"/>
    <w:rsid w:val="007B2A08"/>
    <w:rsid w:val="007B45CE"/>
    <w:rsid w:val="007B4FAA"/>
    <w:rsid w:val="007B7030"/>
    <w:rsid w:val="007B7AE3"/>
    <w:rsid w:val="007B7FF4"/>
    <w:rsid w:val="007C0D0E"/>
    <w:rsid w:val="007C174F"/>
    <w:rsid w:val="007C197F"/>
    <w:rsid w:val="007C1C64"/>
    <w:rsid w:val="007D004A"/>
    <w:rsid w:val="007D2560"/>
    <w:rsid w:val="007D40A1"/>
    <w:rsid w:val="007D6541"/>
    <w:rsid w:val="007E1054"/>
    <w:rsid w:val="007E4131"/>
    <w:rsid w:val="007E48BC"/>
    <w:rsid w:val="007E79F7"/>
    <w:rsid w:val="007E7A25"/>
    <w:rsid w:val="007E7AE6"/>
    <w:rsid w:val="007E7F9A"/>
    <w:rsid w:val="007F1C94"/>
    <w:rsid w:val="007F22FE"/>
    <w:rsid w:val="007F283C"/>
    <w:rsid w:val="007F3630"/>
    <w:rsid w:val="007F5CBF"/>
    <w:rsid w:val="00800263"/>
    <w:rsid w:val="00805E0B"/>
    <w:rsid w:val="0080640D"/>
    <w:rsid w:val="00806701"/>
    <w:rsid w:val="00807559"/>
    <w:rsid w:val="0082021F"/>
    <w:rsid w:val="00820535"/>
    <w:rsid w:val="00821BA6"/>
    <w:rsid w:val="00827AC9"/>
    <w:rsid w:val="0083165C"/>
    <w:rsid w:val="0083218C"/>
    <w:rsid w:val="00833856"/>
    <w:rsid w:val="00834336"/>
    <w:rsid w:val="008414E7"/>
    <w:rsid w:val="00842988"/>
    <w:rsid w:val="008450BC"/>
    <w:rsid w:val="008503FB"/>
    <w:rsid w:val="00851346"/>
    <w:rsid w:val="00851A60"/>
    <w:rsid w:val="0085200E"/>
    <w:rsid w:val="00852B6C"/>
    <w:rsid w:val="00852E36"/>
    <w:rsid w:val="0085334B"/>
    <w:rsid w:val="00856926"/>
    <w:rsid w:val="008575DC"/>
    <w:rsid w:val="00865234"/>
    <w:rsid w:val="00865E35"/>
    <w:rsid w:val="00867B23"/>
    <w:rsid w:val="00870214"/>
    <w:rsid w:val="00872CDF"/>
    <w:rsid w:val="008732E9"/>
    <w:rsid w:val="00874C0D"/>
    <w:rsid w:val="0087535A"/>
    <w:rsid w:val="00876515"/>
    <w:rsid w:val="008766CF"/>
    <w:rsid w:val="008775D3"/>
    <w:rsid w:val="008823B4"/>
    <w:rsid w:val="0088264C"/>
    <w:rsid w:val="008827E4"/>
    <w:rsid w:val="008828D9"/>
    <w:rsid w:val="00885C51"/>
    <w:rsid w:val="00885E2E"/>
    <w:rsid w:val="00885EB0"/>
    <w:rsid w:val="0088772A"/>
    <w:rsid w:val="008911D9"/>
    <w:rsid w:val="00891701"/>
    <w:rsid w:val="0089264A"/>
    <w:rsid w:val="00893859"/>
    <w:rsid w:val="0089602D"/>
    <w:rsid w:val="00896B85"/>
    <w:rsid w:val="00897554"/>
    <w:rsid w:val="008A22BE"/>
    <w:rsid w:val="008A3221"/>
    <w:rsid w:val="008A35FB"/>
    <w:rsid w:val="008B0075"/>
    <w:rsid w:val="008B10A5"/>
    <w:rsid w:val="008B21A0"/>
    <w:rsid w:val="008B5567"/>
    <w:rsid w:val="008B56C9"/>
    <w:rsid w:val="008B5D5D"/>
    <w:rsid w:val="008C0E7A"/>
    <w:rsid w:val="008C1B36"/>
    <w:rsid w:val="008C5624"/>
    <w:rsid w:val="008D06C6"/>
    <w:rsid w:val="008D1982"/>
    <w:rsid w:val="008D7F5E"/>
    <w:rsid w:val="008E0E7B"/>
    <w:rsid w:val="008E6250"/>
    <w:rsid w:val="008E7BE8"/>
    <w:rsid w:val="008F1F69"/>
    <w:rsid w:val="008F20B5"/>
    <w:rsid w:val="008F28F7"/>
    <w:rsid w:val="008F601F"/>
    <w:rsid w:val="008F7C9D"/>
    <w:rsid w:val="0090001F"/>
    <w:rsid w:val="009018EB"/>
    <w:rsid w:val="00901EF6"/>
    <w:rsid w:val="00902AF6"/>
    <w:rsid w:val="00903B43"/>
    <w:rsid w:val="0091208F"/>
    <w:rsid w:val="00914030"/>
    <w:rsid w:val="00917B58"/>
    <w:rsid w:val="00920249"/>
    <w:rsid w:val="0092148D"/>
    <w:rsid w:val="009219CE"/>
    <w:rsid w:val="00923E47"/>
    <w:rsid w:val="00924C80"/>
    <w:rsid w:val="009262E6"/>
    <w:rsid w:val="00930134"/>
    <w:rsid w:val="009303D6"/>
    <w:rsid w:val="00932F14"/>
    <w:rsid w:val="009334B4"/>
    <w:rsid w:val="00935B94"/>
    <w:rsid w:val="009367C2"/>
    <w:rsid w:val="00940464"/>
    <w:rsid w:val="00940C98"/>
    <w:rsid w:val="0094247F"/>
    <w:rsid w:val="00942D60"/>
    <w:rsid w:val="00944BA4"/>
    <w:rsid w:val="00945F17"/>
    <w:rsid w:val="00950E62"/>
    <w:rsid w:val="00953051"/>
    <w:rsid w:val="00953B00"/>
    <w:rsid w:val="0095474B"/>
    <w:rsid w:val="0095651A"/>
    <w:rsid w:val="009570F9"/>
    <w:rsid w:val="00962103"/>
    <w:rsid w:val="00962F03"/>
    <w:rsid w:val="00964C9E"/>
    <w:rsid w:val="0096523B"/>
    <w:rsid w:val="00966360"/>
    <w:rsid w:val="00966EE3"/>
    <w:rsid w:val="00972370"/>
    <w:rsid w:val="00972D06"/>
    <w:rsid w:val="0097300E"/>
    <w:rsid w:val="00975571"/>
    <w:rsid w:val="009814D2"/>
    <w:rsid w:val="0098317E"/>
    <w:rsid w:val="0098680E"/>
    <w:rsid w:val="00987817"/>
    <w:rsid w:val="009905F5"/>
    <w:rsid w:val="0099061A"/>
    <w:rsid w:val="009906D5"/>
    <w:rsid w:val="00991067"/>
    <w:rsid w:val="009955D3"/>
    <w:rsid w:val="009957DA"/>
    <w:rsid w:val="00996DF0"/>
    <w:rsid w:val="009A2379"/>
    <w:rsid w:val="009A391C"/>
    <w:rsid w:val="009A3D0F"/>
    <w:rsid w:val="009A50F2"/>
    <w:rsid w:val="009A53AB"/>
    <w:rsid w:val="009A58A4"/>
    <w:rsid w:val="009B187A"/>
    <w:rsid w:val="009B2CA8"/>
    <w:rsid w:val="009B2FB3"/>
    <w:rsid w:val="009B7597"/>
    <w:rsid w:val="009B7CCB"/>
    <w:rsid w:val="009C084A"/>
    <w:rsid w:val="009C101B"/>
    <w:rsid w:val="009C1465"/>
    <w:rsid w:val="009C2A15"/>
    <w:rsid w:val="009C4322"/>
    <w:rsid w:val="009C7061"/>
    <w:rsid w:val="009C74F7"/>
    <w:rsid w:val="009D2215"/>
    <w:rsid w:val="009D51D0"/>
    <w:rsid w:val="009D5C27"/>
    <w:rsid w:val="009D682B"/>
    <w:rsid w:val="009D790B"/>
    <w:rsid w:val="009D7D21"/>
    <w:rsid w:val="009E0A61"/>
    <w:rsid w:val="009E3010"/>
    <w:rsid w:val="009E4EAD"/>
    <w:rsid w:val="009F007E"/>
    <w:rsid w:val="009F1BCF"/>
    <w:rsid w:val="009F212C"/>
    <w:rsid w:val="009F2D47"/>
    <w:rsid w:val="009F6F77"/>
    <w:rsid w:val="009F7065"/>
    <w:rsid w:val="00A00809"/>
    <w:rsid w:val="00A0428C"/>
    <w:rsid w:val="00A075F4"/>
    <w:rsid w:val="00A11629"/>
    <w:rsid w:val="00A1177B"/>
    <w:rsid w:val="00A12B44"/>
    <w:rsid w:val="00A16D7F"/>
    <w:rsid w:val="00A17FEA"/>
    <w:rsid w:val="00A20571"/>
    <w:rsid w:val="00A22718"/>
    <w:rsid w:val="00A22C0B"/>
    <w:rsid w:val="00A23FE9"/>
    <w:rsid w:val="00A24DFF"/>
    <w:rsid w:val="00A27E8D"/>
    <w:rsid w:val="00A302BC"/>
    <w:rsid w:val="00A30A0C"/>
    <w:rsid w:val="00A345C8"/>
    <w:rsid w:val="00A346E3"/>
    <w:rsid w:val="00A35C4E"/>
    <w:rsid w:val="00A36890"/>
    <w:rsid w:val="00A40193"/>
    <w:rsid w:val="00A4175D"/>
    <w:rsid w:val="00A422FC"/>
    <w:rsid w:val="00A43845"/>
    <w:rsid w:val="00A462F5"/>
    <w:rsid w:val="00A46AE5"/>
    <w:rsid w:val="00A47A6B"/>
    <w:rsid w:val="00A47DE7"/>
    <w:rsid w:val="00A53FF1"/>
    <w:rsid w:val="00A54934"/>
    <w:rsid w:val="00A56793"/>
    <w:rsid w:val="00A56DC7"/>
    <w:rsid w:val="00A56E34"/>
    <w:rsid w:val="00A631D6"/>
    <w:rsid w:val="00A63349"/>
    <w:rsid w:val="00A64A24"/>
    <w:rsid w:val="00A6763F"/>
    <w:rsid w:val="00A715E6"/>
    <w:rsid w:val="00A735D3"/>
    <w:rsid w:val="00A74FD1"/>
    <w:rsid w:val="00A75916"/>
    <w:rsid w:val="00A75B1E"/>
    <w:rsid w:val="00A75F3A"/>
    <w:rsid w:val="00A77CC0"/>
    <w:rsid w:val="00A8345F"/>
    <w:rsid w:val="00A84A58"/>
    <w:rsid w:val="00A856F9"/>
    <w:rsid w:val="00A872A6"/>
    <w:rsid w:val="00A91DF1"/>
    <w:rsid w:val="00A92628"/>
    <w:rsid w:val="00A92E90"/>
    <w:rsid w:val="00A94D2C"/>
    <w:rsid w:val="00A976AB"/>
    <w:rsid w:val="00AA14E8"/>
    <w:rsid w:val="00AA2155"/>
    <w:rsid w:val="00AB0275"/>
    <w:rsid w:val="00AB2000"/>
    <w:rsid w:val="00AB4D05"/>
    <w:rsid w:val="00AB6BC6"/>
    <w:rsid w:val="00AC1F22"/>
    <w:rsid w:val="00AC488D"/>
    <w:rsid w:val="00AC74CB"/>
    <w:rsid w:val="00AD22F9"/>
    <w:rsid w:val="00AD4B11"/>
    <w:rsid w:val="00AD55C4"/>
    <w:rsid w:val="00AD6D13"/>
    <w:rsid w:val="00AD7A3D"/>
    <w:rsid w:val="00AE258B"/>
    <w:rsid w:val="00AE4915"/>
    <w:rsid w:val="00AE4E6E"/>
    <w:rsid w:val="00AE766D"/>
    <w:rsid w:val="00AF06FC"/>
    <w:rsid w:val="00AF1306"/>
    <w:rsid w:val="00AF179B"/>
    <w:rsid w:val="00AF2C20"/>
    <w:rsid w:val="00AF3391"/>
    <w:rsid w:val="00AF387F"/>
    <w:rsid w:val="00AF4C0F"/>
    <w:rsid w:val="00AF602C"/>
    <w:rsid w:val="00AF6ADD"/>
    <w:rsid w:val="00B00E7F"/>
    <w:rsid w:val="00B0285D"/>
    <w:rsid w:val="00B10A5D"/>
    <w:rsid w:val="00B10B6B"/>
    <w:rsid w:val="00B11CB0"/>
    <w:rsid w:val="00B173DA"/>
    <w:rsid w:val="00B21DCC"/>
    <w:rsid w:val="00B25F37"/>
    <w:rsid w:val="00B26AB6"/>
    <w:rsid w:val="00B2721F"/>
    <w:rsid w:val="00B30C9A"/>
    <w:rsid w:val="00B35235"/>
    <w:rsid w:val="00B3778C"/>
    <w:rsid w:val="00B37E80"/>
    <w:rsid w:val="00B402AA"/>
    <w:rsid w:val="00B40D9C"/>
    <w:rsid w:val="00B41850"/>
    <w:rsid w:val="00B41DA4"/>
    <w:rsid w:val="00B4240E"/>
    <w:rsid w:val="00B42BA8"/>
    <w:rsid w:val="00B42FC6"/>
    <w:rsid w:val="00B44422"/>
    <w:rsid w:val="00B46EA0"/>
    <w:rsid w:val="00B51A74"/>
    <w:rsid w:val="00B51C26"/>
    <w:rsid w:val="00B51DBD"/>
    <w:rsid w:val="00B51E03"/>
    <w:rsid w:val="00B55BE6"/>
    <w:rsid w:val="00B617A7"/>
    <w:rsid w:val="00B618AC"/>
    <w:rsid w:val="00B6525D"/>
    <w:rsid w:val="00B65710"/>
    <w:rsid w:val="00B66067"/>
    <w:rsid w:val="00B6720A"/>
    <w:rsid w:val="00B706A5"/>
    <w:rsid w:val="00B71F51"/>
    <w:rsid w:val="00B72837"/>
    <w:rsid w:val="00B731D3"/>
    <w:rsid w:val="00B839A3"/>
    <w:rsid w:val="00B8404D"/>
    <w:rsid w:val="00B84BF5"/>
    <w:rsid w:val="00B853D2"/>
    <w:rsid w:val="00B902BD"/>
    <w:rsid w:val="00B93683"/>
    <w:rsid w:val="00B940E8"/>
    <w:rsid w:val="00B953DA"/>
    <w:rsid w:val="00B9694C"/>
    <w:rsid w:val="00B97014"/>
    <w:rsid w:val="00BA01B8"/>
    <w:rsid w:val="00BA1A2C"/>
    <w:rsid w:val="00BA24E2"/>
    <w:rsid w:val="00BA3561"/>
    <w:rsid w:val="00BA391F"/>
    <w:rsid w:val="00BA71D1"/>
    <w:rsid w:val="00BB18A8"/>
    <w:rsid w:val="00BB3680"/>
    <w:rsid w:val="00BB36D4"/>
    <w:rsid w:val="00BB3E50"/>
    <w:rsid w:val="00BB5930"/>
    <w:rsid w:val="00BB5A24"/>
    <w:rsid w:val="00BB7E20"/>
    <w:rsid w:val="00BC000E"/>
    <w:rsid w:val="00BC0209"/>
    <w:rsid w:val="00BC4A87"/>
    <w:rsid w:val="00BC4C8B"/>
    <w:rsid w:val="00BC6000"/>
    <w:rsid w:val="00BD2A39"/>
    <w:rsid w:val="00BD2E80"/>
    <w:rsid w:val="00BD639D"/>
    <w:rsid w:val="00BE00CB"/>
    <w:rsid w:val="00BE11B8"/>
    <w:rsid w:val="00BE1392"/>
    <w:rsid w:val="00BE3818"/>
    <w:rsid w:val="00BE3EE0"/>
    <w:rsid w:val="00BF406F"/>
    <w:rsid w:val="00BF66AB"/>
    <w:rsid w:val="00BF77AA"/>
    <w:rsid w:val="00BF79F2"/>
    <w:rsid w:val="00BF7FF0"/>
    <w:rsid w:val="00C02507"/>
    <w:rsid w:val="00C03903"/>
    <w:rsid w:val="00C07185"/>
    <w:rsid w:val="00C12502"/>
    <w:rsid w:val="00C1266C"/>
    <w:rsid w:val="00C1360C"/>
    <w:rsid w:val="00C14FD2"/>
    <w:rsid w:val="00C165C3"/>
    <w:rsid w:val="00C20272"/>
    <w:rsid w:val="00C22047"/>
    <w:rsid w:val="00C23B35"/>
    <w:rsid w:val="00C30E77"/>
    <w:rsid w:val="00C31950"/>
    <w:rsid w:val="00C31A0D"/>
    <w:rsid w:val="00C33297"/>
    <w:rsid w:val="00C33484"/>
    <w:rsid w:val="00C341C2"/>
    <w:rsid w:val="00C3515B"/>
    <w:rsid w:val="00C36578"/>
    <w:rsid w:val="00C4006E"/>
    <w:rsid w:val="00C40AA5"/>
    <w:rsid w:val="00C41BA7"/>
    <w:rsid w:val="00C430DA"/>
    <w:rsid w:val="00C46F70"/>
    <w:rsid w:val="00C476D0"/>
    <w:rsid w:val="00C478C1"/>
    <w:rsid w:val="00C519EF"/>
    <w:rsid w:val="00C532EB"/>
    <w:rsid w:val="00C5654E"/>
    <w:rsid w:val="00C56F71"/>
    <w:rsid w:val="00C62C62"/>
    <w:rsid w:val="00C63580"/>
    <w:rsid w:val="00C638C3"/>
    <w:rsid w:val="00C63BFC"/>
    <w:rsid w:val="00C65C22"/>
    <w:rsid w:val="00C74AAA"/>
    <w:rsid w:val="00C82322"/>
    <w:rsid w:val="00C83172"/>
    <w:rsid w:val="00C836E3"/>
    <w:rsid w:val="00C83F99"/>
    <w:rsid w:val="00C85C17"/>
    <w:rsid w:val="00C86577"/>
    <w:rsid w:val="00C90564"/>
    <w:rsid w:val="00C92DA6"/>
    <w:rsid w:val="00C92E07"/>
    <w:rsid w:val="00C94942"/>
    <w:rsid w:val="00C95A55"/>
    <w:rsid w:val="00C96868"/>
    <w:rsid w:val="00C96A50"/>
    <w:rsid w:val="00C97A93"/>
    <w:rsid w:val="00C97AA5"/>
    <w:rsid w:val="00C97F45"/>
    <w:rsid w:val="00CA0416"/>
    <w:rsid w:val="00CA15CB"/>
    <w:rsid w:val="00CA2856"/>
    <w:rsid w:val="00CA3C65"/>
    <w:rsid w:val="00CA3F88"/>
    <w:rsid w:val="00CA5DE7"/>
    <w:rsid w:val="00CA6CF4"/>
    <w:rsid w:val="00CA7F35"/>
    <w:rsid w:val="00CB1375"/>
    <w:rsid w:val="00CB4221"/>
    <w:rsid w:val="00CB4FD1"/>
    <w:rsid w:val="00CB617A"/>
    <w:rsid w:val="00CC10C5"/>
    <w:rsid w:val="00CC36E7"/>
    <w:rsid w:val="00CC4BAC"/>
    <w:rsid w:val="00CC560B"/>
    <w:rsid w:val="00CC5E21"/>
    <w:rsid w:val="00CC631B"/>
    <w:rsid w:val="00CC75E2"/>
    <w:rsid w:val="00CD1547"/>
    <w:rsid w:val="00CD2319"/>
    <w:rsid w:val="00CD46EB"/>
    <w:rsid w:val="00CD6446"/>
    <w:rsid w:val="00CD64BE"/>
    <w:rsid w:val="00CD65A5"/>
    <w:rsid w:val="00CD7EBF"/>
    <w:rsid w:val="00CE03A9"/>
    <w:rsid w:val="00CE094A"/>
    <w:rsid w:val="00CE0AEB"/>
    <w:rsid w:val="00CE24C6"/>
    <w:rsid w:val="00CE25C8"/>
    <w:rsid w:val="00CE4104"/>
    <w:rsid w:val="00CE4649"/>
    <w:rsid w:val="00CE69C5"/>
    <w:rsid w:val="00CE7175"/>
    <w:rsid w:val="00CF0631"/>
    <w:rsid w:val="00CF3A61"/>
    <w:rsid w:val="00CF42A6"/>
    <w:rsid w:val="00CF7C85"/>
    <w:rsid w:val="00D027AF"/>
    <w:rsid w:val="00D032C8"/>
    <w:rsid w:val="00D04529"/>
    <w:rsid w:val="00D056F1"/>
    <w:rsid w:val="00D062E4"/>
    <w:rsid w:val="00D10171"/>
    <w:rsid w:val="00D11171"/>
    <w:rsid w:val="00D11883"/>
    <w:rsid w:val="00D13097"/>
    <w:rsid w:val="00D14405"/>
    <w:rsid w:val="00D16524"/>
    <w:rsid w:val="00D2071E"/>
    <w:rsid w:val="00D209C9"/>
    <w:rsid w:val="00D21242"/>
    <w:rsid w:val="00D227B2"/>
    <w:rsid w:val="00D22F3C"/>
    <w:rsid w:val="00D23BBA"/>
    <w:rsid w:val="00D23DB6"/>
    <w:rsid w:val="00D25CEA"/>
    <w:rsid w:val="00D26814"/>
    <w:rsid w:val="00D3171B"/>
    <w:rsid w:val="00D329B6"/>
    <w:rsid w:val="00D336AA"/>
    <w:rsid w:val="00D33761"/>
    <w:rsid w:val="00D33F56"/>
    <w:rsid w:val="00D3591E"/>
    <w:rsid w:val="00D41BC2"/>
    <w:rsid w:val="00D429B5"/>
    <w:rsid w:val="00D43FE6"/>
    <w:rsid w:val="00D45057"/>
    <w:rsid w:val="00D4510B"/>
    <w:rsid w:val="00D45C31"/>
    <w:rsid w:val="00D51A95"/>
    <w:rsid w:val="00D51C4A"/>
    <w:rsid w:val="00D51DED"/>
    <w:rsid w:val="00D533B9"/>
    <w:rsid w:val="00D53B56"/>
    <w:rsid w:val="00D53F85"/>
    <w:rsid w:val="00D54C44"/>
    <w:rsid w:val="00D568C2"/>
    <w:rsid w:val="00D60568"/>
    <w:rsid w:val="00D60F2A"/>
    <w:rsid w:val="00D61777"/>
    <w:rsid w:val="00D6253A"/>
    <w:rsid w:val="00D657A5"/>
    <w:rsid w:val="00D676CF"/>
    <w:rsid w:val="00D70C7A"/>
    <w:rsid w:val="00D720BA"/>
    <w:rsid w:val="00D737E7"/>
    <w:rsid w:val="00D73931"/>
    <w:rsid w:val="00D73C9F"/>
    <w:rsid w:val="00D8093C"/>
    <w:rsid w:val="00D81D38"/>
    <w:rsid w:val="00D82DBA"/>
    <w:rsid w:val="00D8470F"/>
    <w:rsid w:val="00D8471A"/>
    <w:rsid w:val="00D84A4E"/>
    <w:rsid w:val="00D85609"/>
    <w:rsid w:val="00D87B95"/>
    <w:rsid w:val="00D92CDA"/>
    <w:rsid w:val="00D9430E"/>
    <w:rsid w:val="00D94849"/>
    <w:rsid w:val="00DA10A8"/>
    <w:rsid w:val="00DA24C7"/>
    <w:rsid w:val="00DA286A"/>
    <w:rsid w:val="00DA2B0B"/>
    <w:rsid w:val="00DB1E08"/>
    <w:rsid w:val="00DB21A6"/>
    <w:rsid w:val="00DB2736"/>
    <w:rsid w:val="00DB2973"/>
    <w:rsid w:val="00DB324A"/>
    <w:rsid w:val="00DB3ACC"/>
    <w:rsid w:val="00DB74F7"/>
    <w:rsid w:val="00DB7993"/>
    <w:rsid w:val="00DB7A08"/>
    <w:rsid w:val="00DC1B56"/>
    <w:rsid w:val="00DC2129"/>
    <w:rsid w:val="00DC3C72"/>
    <w:rsid w:val="00DC5B3F"/>
    <w:rsid w:val="00DC6570"/>
    <w:rsid w:val="00DD0ADC"/>
    <w:rsid w:val="00DD3C5E"/>
    <w:rsid w:val="00DE13E9"/>
    <w:rsid w:val="00DE2298"/>
    <w:rsid w:val="00DE2793"/>
    <w:rsid w:val="00DE334D"/>
    <w:rsid w:val="00DE53F1"/>
    <w:rsid w:val="00DE79D9"/>
    <w:rsid w:val="00DF092D"/>
    <w:rsid w:val="00DF10EE"/>
    <w:rsid w:val="00DF141B"/>
    <w:rsid w:val="00DF1500"/>
    <w:rsid w:val="00DF25C3"/>
    <w:rsid w:val="00DF4749"/>
    <w:rsid w:val="00DF5F0F"/>
    <w:rsid w:val="00DF7316"/>
    <w:rsid w:val="00E03B1E"/>
    <w:rsid w:val="00E04062"/>
    <w:rsid w:val="00E063C6"/>
    <w:rsid w:val="00E0705E"/>
    <w:rsid w:val="00E072AC"/>
    <w:rsid w:val="00E073E5"/>
    <w:rsid w:val="00E10CB2"/>
    <w:rsid w:val="00E111EE"/>
    <w:rsid w:val="00E11B94"/>
    <w:rsid w:val="00E13445"/>
    <w:rsid w:val="00E15A66"/>
    <w:rsid w:val="00E16344"/>
    <w:rsid w:val="00E1736C"/>
    <w:rsid w:val="00E17AEC"/>
    <w:rsid w:val="00E2003B"/>
    <w:rsid w:val="00E203C2"/>
    <w:rsid w:val="00E24B20"/>
    <w:rsid w:val="00E24DE8"/>
    <w:rsid w:val="00E279D8"/>
    <w:rsid w:val="00E279D9"/>
    <w:rsid w:val="00E27A67"/>
    <w:rsid w:val="00E319B1"/>
    <w:rsid w:val="00E31F34"/>
    <w:rsid w:val="00E346C7"/>
    <w:rsid w:val="00E34EBB"/>
    <w:rsid w:val="00E352AA"/>
    <w:rsid w:val="00E356AF"/>
    <w:rsid w:val="00E40ED4"/>
    <w:rsid w:val="00E439E4"/>
    <w:rsid w:val="00E43FE8"/>
    <w:rsid w:val="00E44E0D"/>
    <w:rsid w:val="00E520FE"/>
    <w:rsid w:val="00E5492F"/>
    <w:rsid w:val="00E55D90"/>
    <w:rsid w:val="00E61115"/>
    <w:rsid w:val="00E62DEF"/>
    <w:rsid w:val="00E647A0"/>
    <w:rsid w:val="00E67769"/>
    <w:rsid w:val="00E70A86"/>
    <w:rsid w:val="00E72650"/>
    <w:rsid w:val="00E7344E"/>
    <w:rsid w:val="00E75054"/>
    <w:rsid w:val="00E751D6"/>
    <w:rsid w:val="00E753CC"/>
    <w:rsid w:val="00E777EC"/>
    <w:rsid w:val="00E80901"/>
    <w:rsid w:val="00E80FCD"/>
    <w:rsid w:val="00E81F6E"/>
    <w:rsid w:val="00E84C88"/>
    <w:rsid w:val="00E87008"/>
    <w:rsid w:val="00E93BC7"/>
    <w:rsid w:val="00E969D6"/>
    <w:rsid w:val="00EA1C18"/>
    <w:rsid w:val="00EA78F4"/>
    <w:rsid w:val="00EA7F2F"/>
    <w:rsid w:val="00EB2C19"/>
    <w:rsid w:val="00EB53F1"/>
    <w:rsid w:val="00EB6B58"/>
    <w:rsid w:val="00EC00DE"/>
    <w:rsid w:val="00EC30E1"/>
    <w:rsid w:val="00EC50D7"/>
    <w:rsid w:val="00EC797E"/>
    <w:rsid w:val="00ED172A"/>
    <w:rsid w:val="00ED355F"/>
    <w:rsid w:val="00ED3A56"/>
    <w:rsid w:val="00ED3E16"/>
    <w:rsid w:val="00ED4A11"/>
    <w:rsid w:val="00EE0A23"/>
    <w:rsid w:val="00EE3406"/>
    <w:rsid w:val="00EE34CD"/>
    <w:rsid w:val="00EE3F77"/>
    <w:rsid w:val="00EE597E"/>
    <w:rsid w:val="00EF0700"/>
    <w:rsid w:val="00EF2F6A"/>
    <w:rsid w:val="00EF4A2B"/>
    <w:rsid w:val="00F000E1"/>
    <w:rsid w:val="00F03945"/>
    <w:rsid w:val="00F04B49"/>
    <w:rsid w:val="00F06541"/>
    <w:rsid w:val="00F0750B"/>
    <w:rsid w:val="00F10524"/>
    <w:rsid w:val="00F14BEC"/>
    <w:rsid w:val="00F14CE4"/>
    <w:rsid w:val="00F14F7D"/>
    <w:rsid w:val="00F15630"/>
    <w:rsid w:val="00F15857"/>
    <w:rsid w:val="00F2156E"/>
    <w:rsid w:val="00F225C5"/>
    <w:rsid w:val="00F2587A"/>
    <w:rsid w:val="00F25FF6"/>
    <w:rsid w:val="00F26575"/>
    <w:rsid w:val="00F337AB"/>
    <w:rsid w:val="00F33891"/>
    <w:rsid w:val="00F33BB8"/>
    <w:rsid w:val="00F367E7"/>
    <w:rsid w:val="00F3715D"/>
    <w:rsid w:val="00F3779A"/>
    <w:rsid w:val="00F40725"/>
    <w:rsid w:val="00F420C8"/>
    <w:rsid w:val="00F42937"/>
    <w:rsid w:val="00F42A4C"/>
    <w:rsid w:val="00F451DC"/>
    <w:rsid w:val="00F46338"/>
    <w:rsid w:val="00F469F9"/>
    <w:rsid w:val="00F47517"/>
    <w:rsid w:val="00F47F1D"/>
    <w:rsid w:val="00F50242"/>
    <w:rsid w:val="00F53B04"/>
    <w:rsid w:val="00F54275"/>
    <w:rsid w:val="00F55726"/>
    <w:rsid w:val="00F55C7B"/>
    <w:rsid w:val="00F5778B"/>
    <w:rsid w:val="00F604DE"/>
    <w:rsid w:val="00F619E0"/>
    <w:rsid w:val="00F6352C"/>
    <w:rsid w:val="00F64024"/>
    <w:rsid w:val="00F64653"/>
    <w:rsid w:val="00F65C0E"/>
    <w:rsid w:val="00F66989"/>
    <w:rsid w:val="00F74AFA"/>
    <w:rsid w:val="00F759B5"/>
    <w:rsid w:val="00F77330"/>
    <w:rsid w:val="00F816FD"/>
    <w:rsid w:val="00F82849"/>
    <w:rsid w:val="00F93D5B"/>
    <w:rsid w:val="00F94FEA"/>
    <w:rsid w:val="00FA6799"/>
    <w:rsid w:val="00FB0105"/>
    <w:rsid w:val="00FB055C"/>
    <w:rsid w:val="00FB0EBF"/>
    <w:rsid w:val="00FB1533"/>
    <w:rsid w:val="00FB6075"/>
    <w:rsid w:val="00FB67A3"/>
    <w:rsid w:val="00FB7512"/>
    <w:rsid w:val="00FB7AA7"/>
    <w:rsid w:val="00FB7F36"/>
    <w:rsid w:val="00FC00CE"/>
    <w:rsid w:val="00FC1229"/>
    <w:rsid w:val="00FC4256"/>
    <w:rsid w:val="00FC4F6B"/>
    <w:rsid w:val="00FC79BE"/>
    <w:rsid w:val="00FD1690"/>
    <w:rsid w:val="00FD2FBE"/>
    <w:rsid w:val="00FD46EE"/>
    <w:rsid w:val="00FD565B"/>
    <w:rsid w:val="00FD5EA0"/>
    <w:rsid w:val="00FD7547"/>
    <w:rsid w:val="00FE65E4"/>
    <w:rsid w:val="00FE78B9"/>
    <w:rsid w:val="00FE796F"/>
    <w:rsid w:val="00FF0DE5"/>
    <w:rsid w:val="00FF5C8B"/>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o:shapelayout v:ext="edit">
      <o:idmap v:ext="edit" data="1"/>
    </o:shapelayout>
  </w:shapeDefaults>
  <w:decimalSymbol w:val="."/>
  <w:listSeparator w:val=","/>
  <w14:docId w14:val="2FFBF2BA"/>
  <w15:docId w15:val="{422BF30B-13A2-4B46-B389-53C62651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BC000E"/>
    <w:pPr>
      <w:tabs>
        <w:tab w:val="left" w:pos="1134"/>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qFormat/>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paragraph" w:styleId="ListParagraph">
    <w:name w:val="List Paragraph"/>
    <w:basedOn w:val="Normal"/>
    <w:uiPriority w:val="34"/>
    <w:qFormat/>
    <w:rsid w:val="000A26D4"/>
    <w:pPr>
      <w:ind w:left="720"/>
      <w:contextualSpacing/>
    </w:pPr>
  </w:style>
  <w:style w:type="paragraph" w:customStyle="1" w:styleId="AARBullet">
    <w:name w:val="AAR Bullet"/>
    <w:basedOn w:val="Normal"/>
    <w:qFormat/>
    <w:rsid w:val="00706CD2"/>
    <w:pPr>
      <w:widowControl/>
      <w:numPr>
        <w:numId w:val="11"/>
      </w:numPr>
      <w:spacing w:before="60" w:after="60"/>
    </w:pPr>
    <w:rPr>
      <w:rFonts w:cs="Arial"/>
      <w:sz w:val="20"/>
      <w:lang w:val="en-AU" w:bidi="ar-SA"/>
    </w:rPr>
  </w:style>
  <w:style w:type="paragraph" w:styleId="NormalWeb">
    <w:name w:val="Normal (Web)"/>
    <w:basedOn w:val="Normal"/>
    <w:uiPriority w:val="99"/>
    <w:semiHidden/>
    <w:unhideWhenUsed/>
    <w:rsid w:val="005504BC"/>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387946">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051615587">
      <w:bodyDiv w:val="1"/>
      <w:marLeft w:val="0"/>
      <w:marRight w:val="0"/>
      <w:marTop w:val="0"/>
      <w:marBottom w:val="0"/>
      <w:divBdr>
        <w:top w:val="none" w:sz="0" w:space="0" w:color="auto"/>
        <w:left w:val="none" w:sz="0" w:space="0" w:color="auto"/>
        <w:bottom w:val="none" w:sz="0" w:space="0" w:color="auto"/>
        <w:right w:val="none" w:sz="0" w:space="0" w:color="auto"/>
      </w:divBdr>
    </w:div>
    <w:div w:id="1285581669">
      <w:bodyDiv w:val="1"/>
      <w:marLeft w:val="0"/>
      <w:marRight w:val="0"/>
      <w:marTop w:val="0"/>
      <w:marBottom w:val="0"/>
      <w:divBdr>
        <w:top w:val="none" w:sz="0" w:space="0" w:color="auto"/>
        <w:left w:val="none" w:sz="0" w:space="0" w:color="auto"/>
        <w:bottom w:val="none" w:sz="0" w:space="0" w:color="auto"/>
        <w:right w:val="none" w:sz="0" w:space="0" w:color="auto"/>
      </w:divBdr>
    </w:div>
    <w:div w:id="1526945938">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4649720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sfa.gov.sg/legislation"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https://www.foodstandards.gov.au/code/applications/Pages/A1186.asp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28" Type="http://schemas.openxmlformats.org/officeDocument/2006/relationships/footer" Target="footer3.xml"/><Relationship Id="rId15" Type="http://schemas.openxmlformats.org/officeDocument/2006/relationships/hyperlink" Target="http://www.foodstandards.gov.au/code/changes/submission/Pages/default.aspx"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meat.tamu.edu/ansc-307-honors/meat-color/"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registerofquestions.efsa.europa.eu/roqFrontend/ListOfQuestionsNoLogin?1" TargetMode="External"/><Relationship Id="rId2" Type="http://schemas.openxmlformats.org/officeDocument/2006/relationships/hyperlink" Target="https://www.ipaustralia.gov.au/" TargetMode="External"/><Relationship Id="rId1" Type="http://schemas.openxmlformats.org/officeDocument/2006/relationships/hyperlink" Target="https://www.iponz.govt.nz/manage-ip" TargetMode="External"/><Relationship Id="rId4" Type="http://schemas.openxmlformats.org/officeDocument/2006/relationships/hyperlink" Target="https://foodregulation.gov.au/internet/fr/publishing.nsf/Content/publication-Policy-Guideline-for-the-Fortification-of-Foods-with-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X3VAMR3A5FUY-552-7596</_dlc_DocId>
    <_dlc_DocIdUrl xmlns="ff5de93e-c5e8-4efc-a1bd-21450292fcfe">
      <Url>http://teams/Sections/RAP/_layouts/15/DocIdRedir.aspx?ID=X3VAMR3A5FUY-552-7596</Url>
      <Description>X3VAMR3A5FUY-552-7596</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Props1.xml><?xml version="1.0" encoding="utf-8"?>
<ds:datastoreItem xmlns:ds="http://schemas.openxmlformats.org/officeDocument/2006/customXml" ds:itemID="{0D295550-399F-49B7-B2F7-C11B387D61E8}"/>
</file>

<file path=customXml/itemProps2.xml><?xml version="1.0" encoding="utf-8"?>
<ds:datastoreItem xmlns:ds="http://schemas.openxmlformats.org/officeDocument/2006/customXml" ds:itemID="{51D7476C-BAC2-43DD-92E1-A1426AB2032D}"/>
</file>

<file path=customXml/itemProps3.xml><?xml version="1.0" encoding="utf-8"?>
<ds:datastoreItem xmlns:ds="http://schemas.openxmlformats.org/officeDocument/2006/customXml" ds:itemID="{3895FACA-ECEA-43F3-A856-ADB50818702D}"/>
</file>

<file path=customXml/itemProps4.xml><?xml version="1.0" encoding="utf-8"?>
<ds:datastoreItem xmlns:ds="http://schemas.openxmlformats.org/officeDocument/2006/customXml" ds:itemID="{0D295550-399F-49B7-B2F7-C11B387D61E8}">
  <ds:schemaRefs>
    <ds:schemaRef ds:uri="http://schemas.microsoft.com/sharepoint/v3/contenttype/forms"/>
  </ds:schemaRefs>
</ds:datastoreItem>
</file>

<file path=customXml/itemProps5.xml><?xml version="1.0" encoding="utf-8"?>
<ds:datastoreItem xmlns:ds="http://schemas.openxmlformats.org/officeDocument/2006/customXml" ds:itemID="{51D7476C-BAC2-43DD-92E1-A1426AB2032D}">
  <ds:schemaRefs>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 ds:uri="ec50576e-4a27-4780-a1e1-e59563bc70b8"/>
    <ds:schemaRef ds:uri="http://purl.org/dc/elements/1.1/"/>
    <ds:schemaRef ds:uri="http://schemas.openxmlformats.org/package/2006/metadata/core-properties"/>
    <ds:schemaRef ds:uri="ff5de93e-c5e8-4efc-a1bd-21450292fcfe"/>
    <ds:schemaRef ds:uri="http://schemas.microsoft.com/office/2006/metadata/properties"/>
  </ds:schemaRefs>
</ds:datastoreItem>
</file>

<file path=customXml/itemProps6.xml><?xml version="1.0" encoding="utf-8"?>
<ds:datastoreItem xmlns:ds="http://schemas.openxmlformats.org/officeDocument/2006/customXml" ds:itemID="{A8081166-0C6C-4F28-9DDF-D8486367ED49}"/>
</file>

<file path=customXml/itemProps7.xml><?xml version="1.0" encoding="utf-8"?>
<ds:datastoreItem xmlns:ds="http://schemas.openxmlformats.org/officeDocument/2006/customXml" ds:itemID="{5FAAF3A8-9976-4B33-A948-BD64528016D8}"/>
</file>

<file path=docProps/app.xml><?xml version="1.0" encoding="utf-8"?>
<Properties xmlns="http://schemas.openxmlformats.org/officeDocument/2006/extended-properties" xmlns:vt="http://schemas.openxmlformats.org/officeDocument/2006/docPropsVTypes">
  <Template>Normal</Template>
  <TotalTime>2</TotalTime>
  <Pages>16</Pages>
  <Words>6967</Words>
  <Characters>39714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46588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seymok</dc:creator>
  <cp:keywords/>
  <dc:description/>
  <cp:lastModifiedBy>CoughC</cp:lastModifiedBy>
  <cp:revision>3</cp:revision>
  <cp:lastPrinted>2019-11-04T20:26:00Z</cp:lastPrinted>
  <dcterms:created xsi:type="dcterms:W3CDTF">2019-12-19T03:53:00Z</dcterms:created>
  <dcterms:modified xsi:type="dcterms:W3CDTF">2019-12-19T03:55:00Z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f01fe51c-aa82-4be0-b08b-7d9ac49d2558</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_dlc_DocIdItemGuid">
    <vt:lpwstr>faec6c29-ff40-4624-b3ab-1fe5d811d571</vt:lpwstr>
  </property>
  <property fmtid="{D5CDD505-2E9C-101B-9397-08002B2CF9AE}" pid="7" name="DisposalClass">
    <vt:lpwstr/>
  </property>
  <property fmtid="{D5CDD505-2E9C-101B-9397-08002B2CF9AE}" pid="8" name="BCS_">
    <vt:lpwstr>40;#Evaluation|43bd8487-b9f6-4055-946c-a118d364275d</vt:lpwstr>
  </property>
  <property fmtid="{D5CDD505-2E9C-101B-9397-08002B2CF9AE}" pid="9" name="RecordPoint_WorkflowType">
    <vt:lpwstr>ActiveSubmitStub</vt:lpwstr>
  </property>
  <property fmtid="{D5CDD505-2E9C-101B-9397-08002B2CF9AE}" pid="10" name="RecordPoint_ActiveItemWebId">
    <vt:lpwstr>{1d17a741-0649-4855-a4fa-a8a5c8a24df0}</vt:lpwstr>
  </property>
  <property fmtid="{D5CDD505-2E9C-101B-9397-08002B2CF9AE}" pid="11" name="RecordPoint_ActiveItemSiteId">
    <vt:lpwstr>{dd95a578-5c6a-4f11-92f7-f95884d628d6}</vt:lpwstr>
  </property>
  <property fmtid="{D5CDD505-2E9C-101B-9397-08002B2CF9AE}" pid="12" name="RecordPoint_ActiveItemListId">
    <vt:lpwstr>{df0b5e9c-ea3e-4ca5-a01f-f55c88d8bba4}</vt:lpwstr>
  </property>
  <property fmtid="{D5CDD505-2E9C-101B-9397-08002B2CF9AE}" pid="13" name="RecordPoint_ActiveItemUniqueId">
    <vt:lpwstr>{b3e0c1a6-1977-4cd0-b00f-10a25162727c}</vt:lpwstr>
  </property>
  <property fmtid="{D5CDD505-2E9C-101B-9397-08002B2CF9AE}" pid="14" name="RecordPoint_RecordNumberSubmitted">
    <vt:lpwstr>R0000118520</vt:lpwstr>
  </property>
  <property fmtid="{D5CDD505-2E9C-101B-9397-08002B2CF9AE}" pid="15" name="RecordPoint_SubmissionCompleted">
    <vt:lpwstr>2019-12-11T17:20:06.3618658+11:00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uid="dd6c74cc-0de9-4a0a-85ef-439e2ceecf74" value="" /&gt;&lt;/sisl&gt;</vt:lpwstr>
  </property>
  <property fmtid="{D5CDD505-2E9C-101B-9397-08002B2CF9AE}" pid="18" name="bjDocumentSecurityLabel">
    <vt:lpwstr>OFFICIAL</vt:lpwstr>
  </property>
  <property fmtid="{D5CDD505-2E9C-101B-9397-08002B2CF9AE}" pid="19" name="bjHeaderBothDocProperty">
    <vt:lpwstr>OFFICIAL_x000d_
 </vt:lpwstr>
  </property>
  <property fmtid="{D5CDD505-2E9C-101B-9397-08002B2CF9AE}" pid="20" name="bjHeaderFirstPageDocProperty">
    <vt:lpwstr>OFFICIAL_x000d_
 </vt:lpwstr>
  </property>
  <property fmtid="{D5CDD505-2E9C-101B-9397-08002B2CF9AE}" pid="21" name="bjHeaderEvenPageDocProperty">
    <vt:lpwstr>OFFICIAL_x000d_
 </vt:lpwstr>
  </property>
  <property fmtid="{D5CDD505-2E9C-101B-9397-08002B2CF9AE}" pid="22" name="bjFooterBothDocProperty">
    <vt:lpwstr>_x000d_
OFFICIAL </vt:lpwstr>
  </property>
  <property fmtid="{D5CDD505-2E9C-101B-9397-08002B2CF9AE}" pid="23" name="bjFooterFirstPageDocProperty">
    <vt:lpwstr>_x000d_
OFFICIAL </vt:lpwstr>
  </property>
  <property fmtid="{D5CDD505-2E9C-101B-9397-08002B2CF9AE}" pid="24" name="bjFooterEvenPageDocProperty">
    <vt:lpwstr>_x000d_
OFFICIAL </vt:lpwstr>
  </property>
</Properties>
</file>